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C39B" w14:textId="14057791" w:rsidR="00BB1FC6" w:rsidRPr="00244C66" w:rsidRDefault="00BB1FC6" w:rsidP="00244C66">
      <w:pPr>
        <w:shd w:val="clear" w:color="auto" w:fill="DEEAF6" w:themeFill="accent5" w:themeFillTint="33"/>
        <w:spacing w:line="240" w:lineRule="auto"/>
        <w:jc w:val="center"/>
        <w:rPr>
          <w:rFonts w:cstheme="minorHAnsi"/>
          <w:b/>
          <w:sz w:val="24"/>
          <w:szCs w:val="24"/>
        </w:rPr>
      </w:pPr>
      <w:r w:rsidRPr="00244C66">
        <w:rPr>
          <w:rFonts w:cstheme="minorHAnsi"/>
          <w:b/>
          <w:sz w:val="24"/>
          <w:szCs w:val="24"/>
        </w:rPr>
        <w:t xml:space="preserve">Raport z przeprowadzonych konsultacji społecznych projektu Strategii Rozwoju Gminy </w:t>
      </w:r>
      <w:r w:rsidR="008F5304" w:rsidRPr="00244C66">
        <w:rPr>
          <w:rFonts w:cstheme="minorHAnsi"/>
          <w:b/>
          <w:sz w:val="24"/>
          <w:szCs w:val="24"/>
        </w:rPr>
        <w:t>Świątniki Górne</w:t>
      </w:r>
      <w:r w:rsidR="00AF4556" w:rsidRPr="00244C66">
        <w:rPr>
          <w:rFonts w:cstheme="minorHAnsi"/>
          <w:b/>
          <w:sz w:val="24"/>
          <w:szCs w:val="24"/>
        </w:rPr>
        <w:t xml:space="preserve"> </w:t>
      </w:r>
      <w:r w:rsidR="003954F3" w:rsidRPr="00244C66">
        <w:rPr>
          <w:rFonts w:cstheme="minorHAnsi"/>
          <w:b/>
          <w:sz w:val="24"/>
          <w:szCs w:val="24"/>
        </w:rPr>
        <w:t>do 2030 roku</w:t>
      </w:r>
    </w:p>
    <w:p w14:paraId="4D60081D" w14:textId="77777777" w:rsidR="00B4214D" w:rsidRPr="00244C66" w:rsidRDefault="00B4214D" w:rsidP="00B4214D">
      <w:pPr>
        <w:spacing w:line="276" w:lineRule="auto"/>
        <w:rPr>
          <w:rFonts w:cstheme="minorHAnsi"/>
          <w:b/>
          <w:sz w:val="24"/>
          <w:szCs w:val="24"/>
        </w:rPr>
      </w:pPr>
    </w:p>
    <w:p w14:paraId="7D92AF0A" w14:textId="3413B7CA" w:rsidR="00BC0DE2" w:rsidRPr="00244C66" w:rsidRDefault="00BB1FC6" w:rsidP="00244C66">
      <w:pPr>
        <w:spacing w:line="276" w:lineRule="auto"/>
        <w:jc w:val="left"/>
        <w:rPr>
          <w:rFonts w:cstheme="minorHAnsi"/>
          <w:sz w:val="24"/>
          <w:szCs w:val="24"/>
        </w:rPr>
      </w:pPr>
      <w:r w:rsidRPr="00244C66">
        <w:rPr>
          <w:rFonts w:cstheme="minorHAnsi"/>
          <w:b/>
          <w:sz w:val="24"/>
          <w:szCs w:val="24"/>
        </w:rPr>
        <w:t xml:space="preserve">Gmina </w:t>
      </w:r>
      <w:r w:rsidR="008F5304" w:rsidRPr="00244C66">
        <w:rPr>
          <w:rFonts w:cstheme="minorHAnsi"/>
          <w:b/>
          <w:sz w:val="24"/>
          <w:szCs w:val="24"/>
        </w:rPr>
        <w:t>Świątniki Górne</w:t>
      </w:r>
      <w:r w:rsidR="00AF4556" w:rsidRPr="00244C66">
        <w:rPr>
          <w:rFonts w:cstheme="minorHAnsi"/>
          <w:b/>
          <w:sz w:val="24"/>
          <w:szCs w:val="24"/>
        </w:rPr>
        <w:t xml:space="preserve"> </w:t>
      </w:r>
      <w:r w:rsidRPr="00244C66">
        <w:rPr>
          <w:rFonts w:cstheme="minorHAnsi"/>
          <w:b/>
          <w:sz w:val="24"/>
          <w:szCs w:val="24"/>
        </w:rPr>
        <w:t xml:space="preserve">przystąpiła do opracowania dokumentu strategicznego pod tytułem </w:t>
      </w:r>
      <w:r w:rsidR="00640CA9" w:rsidRPr="00244C66">
        <w:rPr>
          <w:rFonts w:cstheme="minorHAnsi"/>
          <w:b/>
          <w:sz w:val="24"/>
          <w:szCs w:val="24"/>
        </w:rPr>
        <w:t>„</w:t>
      </w:r>
      <w:r w:rsidRPr="00244C66">
        <w:rPr>
          <w:rFonts w:cstheme="minorHAnsi"/>
          <w:b/>
          <w:sz w:val="24"/>
          <w:szCs w:val="24"/>
        </w:rPr>
        <w:t>Strategia Rozwoju Gminy</w:t>
      </w:r>
      <w:r w:rsidR="008F5304" w:rsidRPr="00244C66">
        <w:rPr>
          <w:rFonts w:cstheme="minorHAnsi"/>
          <w:b/>
          <w:sz w:val="24"/>
          <w:szCs w:val="24"/>
        </w:rPr>
        <w:t xml:space="preserve"> Świątniki Górne </w:t>
      </w:r>
      <w:r w:rsidR="003954F3" w:rsidRPr="00244C66">
        <w:rPr>
          <w:rFonts w:cstheme="minorHAnsi"/>
          <w:b/>
          <w:sz w:val="24"/>
          <w:szCs w:val="24"/>
        </w:rPr>
        <w:t>do 2030 roku</w:t>
      </w:r>
      <w:r w:rsidR="00640CA9" w:rsidRPr="00244C66">
        <w:rPr>
          <w:rFonts w:cstheme="minorHAnsi"/>
          <w:b/>
          <w:sz w:val="24"/>
          <w:szCs w:val="24"/>
        </w:rPr>
        <w:t>”</w:t>
      </w:r>
      <w:r w:rsidRPr="00244C66">
        <w:rPr>
          <w:rFonts w:cstheme="minorHAnsi"/>
          <w:sz w:val="24"/>
          <w:szCs w:val="24"/>
        </w:rPr>
        <w:t>. Dokument tworzony jest na podstawie art. 30 ust. 1 ustawy z dnia 8 marca 1990  roku  o  samorządzie  gminnym  (Dz.U. z 202</w:t>
      </w:r>
      <w:r w:rsidR="00D6603C" w:rsidRPr="00244C66">
        <w:rPr>
          <w:rFonts w:cstheme="minorHAnsi"/>
          <w:sz w:val="24"/>
          <w:szCs w:val="24"/>
        </w:rPr>
        <w:t>1</w:t>
      </w:r>
      <w:r w:rsidRPr="00244C66">
        <w:rPr>
          <w:rFonts w:cstheme="minorHAnsi"/>
          <w:sz w:val="24"/>
          <w:szCs w:val="24"/>
        </w:rPr>
        <w:t xml:space="preserve"> r. poz. </w:t>
      </w:r>
      <w:r w:rsidR="00D6603C" w:rsidRPr="00244C66">
        <w:rPr>
          <w:rFonts w:cstheme="minorHAnsi"/>
          <w:sz w:val="24"/>
          <w:szCs w:val="24"/>
        </w:rPr>
        <w:t>1372</w:t>
      </w:r>
      <w:r w:rsidRPr="00244C66">
        <w:rPr>
          <w:rFonts w:cstheme="minorHAnsi"/>
          <w:sz w:val="24"/>
          <w:szCs w:val="24"/>
        </w:rPr>
        <w:t>)  oraz na podstawie</w:t>
      </w:r>
      <w:r w:rsidR="004D4D95" w:rsidRPr="00244C66">
        <w:rPr>
          <w:rFonts w:cstheme="minorHAnsi"/>
          <w:sz w:val="24"/>
          <w:szCs w:val="24"/>
        </w:rPr>
        <w:t xml:space="preserve"> </w:t>
      </w:r>
      <w:r w:rsidR="00BC0DE2" w:rsidRPr="00244C66">
        <w:rPr>
          <w:rFonts w:cstheme="minorHAnsi"/>
          <w:sz w:val="24"/>
          <w:szCs w:val="24"/>
        </w:rPr>
        <w:t>art. 6 ust. 3 ustawy z dnia 6 grudnia 2006 r. o zasadach prowadzenia polityki rozwoju (Dz. U. z 20</w:t>
      </w:r>
      <w:r w:rsidR="003954F3" w:rsidRPr="00244C66">
        <w:rPr>
          <w:rFonts w:cstheme="minorHAnsi"/>
          <w:sz w:val="24"/>
          <w:szCs w:val="24"/>
        </w:rPr>
        <w:t>21</w:t>
      </w:r>
      <w:r w:rsidR="00BC0DE2" w:rsidRPr="00244C66">
        <w:rPr>
          <w:rFonts w:cstheme="minorHAnsi"/>
          <w:sz w:val="24"/>
          <w:szCs w:val="24"/>
        </w:rPr>
        <w:t xml:space="preserve"> r. poz. </w:t>
      </w:r>
      <w:r w:rsidR="003954F3" w:rsidRPr="00244C66">
        <w:rPr>
          <w:rFonts w:cstheme="minorHAnsi"/>
          <w:sz w:val="24"/>
          <w:szCs w:val="24"/>
        </w:rPr>
        <w:t>1057</w:t>
      </w:r>
      <w:r w:rsidR="00BC0DE2" w:rsidRPr="00244C66">
        <w:rPr>
          <w:rFonts w:cstheme="minorHAnsi"/>
          <w:sz w:val="24"/>
          <w:szCs w:val="24"/>
        </w:rPr>
        <w:t xml:space="preserve"> z </w:t>
      </w:r>
      <w:proofErr w:type="spellStart"/>
      <w:r w:rsidR="00BC0DE2" w:rsidRPr="00244C66">
        <w:rPr>
          <w:rFonts w:cstheme="minorHAnsi"/>
          <w:sz w:val="24"/>
          <w:szCs w:val="24"/>
        </w:rPr>
        <w:t>późn</w:t>
      </w:r>
      <w:proofErr w:type="spellEnd"/>
      <w:r w:rsidR="00BC0DE2" w:rsidRPr="00244C66">
        <w:rPr>
          <w:rFonts w:cstheme="minorHAnsi"/>
          <w:sz w:val="24"/>
          <w:szCs w:val="24"/>
        </w:rPr>
        <w:t>. zm.) oraz zgodnie z Uchwałami Nr XXVIII/248/2020 Rady Miejskiej w Świątnikach Górnych z dnia 30 grudnia 2020 r. oraz Nr XXXIII/314/2021 Rady Miejskiej w</w:t>
      </w:r>
      <w:r w:rsidR="00BA522E" w:rsidRPr="00244C66">
        <w:rPr>
          <w:rFonts w:cstheme="minorHAnsi"/>
          <w:sz w:val="24"/>
          <w:szCs w:val="24"/>
        </w:rPr>
        <w:t> </w:t>
      </w:r>
      <w:r w:rsidR="00BC0DE2" w:rsidRPr="00244C66">
        <w:rPr>
          <w:rFonts w:cstheme="minorHAnsi"/>
          <w:sz w:val="24"/>
          <w:szCs w:val="24"/>
        </w:rPr>
        <w:t>Świątnikach Górnych z dnia 23 czerwca 2021 r. w sprawie: określenia szczegółowego trybu i</w:t>
      </w:r>
      <w:r w:rsidR="00BA522E" w:rsidRPr="00244C66">
        <w:rPr>
          <w:rFonts w:cstheme="minorHAnsi"/>
          <w:sz w:val="24"/>
          <w:szCs w:val="24"/>
        </w:rPr>
        <w:t> </w:t>
      </w:r>
      <w:r w:rsidR="00BC0DE2" w:rsidRPr="00244C66">
        <w:rPr>
          <w:rFonts w:cstheme="minorHAnsi"/>
          <w:sz w:val="24"/>
          <w:szCs w:val="24"/>
        </w:rPr>
        <w:t>harmonogramu opracowania „Strategii Rozwoju Gminy Świątniki Górne do 2030” oraz  trybu jego  konsultacji, o których mowa w art. 6 ust. 3 ustawy z dnia 6 grudnia 2006 r. o zasadach prowadzenia polityki rozwoju.</w:t>
      </w:r>
    </w:p>
    <w:p w14:paraId="0AA42D07" w14:textId="06F47C5F" w:rsidR="00A9570A" w:rsidRPr="00244C66" w:rsidRDefault="008F5304" w:rsidP="00244C66">
      <w:pPr>
        <w:spacing w:line="276" w:lineRule="auto"/>
        <w:jc w:val="left"/>
        <w:rPr>
          <w:rFonts w:cstheme="minorHAnsi"/>
          <w:b/>
          <w:sz w:val="24"/>
          <w:szCs w:val="24"/>
        </w:rPr>
      </w:pPr>
      <w:r w:rsidRPr="00244C66">
        <w:rPr>
          <w:rFonts w:cstheme="minorHAnsi"/>
          <w:b/>
          <w:sz w:val="24"/>
          <w:szCs w:val="24"/>
        </w:rPr>
        <w:t>Burmistrz</w:t>
      </w:r>
      <w:r w:rsidR="008341E3" w:rsidRPr="00244C66">
        <w:rPr>
          <w:rFonts w:cstheme="minorHAnsi"/>
          <w:b/>
          <w:sz w:val="24"/>
          <w:szCs w:val="24"/>
        </w:rPr>
        <w:t xml:space="preserve"> </w:t>
      </w:r>
      <w:r w:rsidR="00133469">
        <w:rPr>
          <w:rFonts w:cstheme="minorHAnsi"/>
          <w:b/>
          <w:sz w:val="24"/>
          <w:szCs w:val="24"/>
        </w:rPr>
        <w:t xml:space="preserve">Miasta i </w:t>
      </w:r>
      <w:r w:rsidR="008341E3" w:rsidRPr="00244C66">
        <w:rPr>
          <w:rFonts w:cstheme="minorHAnsi"/>
          <w:b/>
          <w:sz w:val="24"/>
          <w:szCs w:val="24"/>
        </w:rPr>
        <w:t xml:space="preserve">Gminy </w:t>
      </w:r>
      <w:r w:rsidRPr="00244C66">
        <w:rPr>
          <w:rFonts w:cstheme="minorHAnsi"/>
          <w:b/>
          <w:sz w:val="24"/>
          <w:szCs w:val="24"/>
        </w:rPr>
        <w:t>Świątniki Górne</w:t>
      </w:r>
      <w:r w:rsidR="00187255" w:rsidRPr="00244C66">
        <w:rPr>
          <w:rFonts w:cstheme="minorHAnsi"/>
          <w:b/>
          <w:sz w:val="24"/>
          <w:szCs w:val="24"/>
        </w:rPr>
        <w:t xml:space="preserve"> </w:t>
      </w:r>
      <w:r w:rsidR="00BB1FC6" w:rsidRPr="00244C66">
        <w:rPr>
          <w:rFonts w:cstheme="minorHAnsi"/>
          <w:b/>
          <w:sz w:val="24"/>
          <w:szCs w:val="24"/>
        </w:rPr>
        <w:t xml:space="preserve">informuje o zakończeniu konsultacji społecznych projektu Strategii Rozwoju Gminy </w:t>
      </w:r>
      <w:r w:rsidRPr="00244C66">
        <w:rPr>
          <w:rFonts w:cstheme="minorHAnsi"/>
          <w:b/>
          <w:sz w:val="24"/>
          <w:szCs w:val="24"/>
        </w:rPr>
        <w:t>Świątniki Górne</w:t>
      </w:r>
      <w:r w:rsidR="00187255" w:rsidRPr="00244C66">
        <w:rPr>
          <w:rFonts w:cstheme="minorHAnsi"/>
          <w:b/>
          <w:sz w:val="24"/>
          <w:szCs w:val="24"/>
        </w:rPr>
        <w:t xml:space="preserve"> </w:t>
      </w:r>
      <w:r w:rsidR="003954F3" w:rsidRPr="00244C66">
        <w:rPr>
          <w:rFonts w:cstheme="minorHAnsi"/>
          <w:b/>
          <w:sz w:val="24"/>
          <w:szCs w:val="24"/>
        </w:rPr>
        <w:t>do 2030 roku</w:t>
      </w:r>
      <w:r w:rsidR="00BB1FC6" w:rsidRPr="00244C66">
        <w:rPr>
          <w:rFonts w:cstheme="minorHAnsi"/>
          <w:b/>
          <w:sz w:val="24"/>
          <w:szCs w:val="24"/>
        </w:rPr>
        <w:t xml:space="preserve">. </w:t>
      </w:r>
    </w:p>
    <w:p w14:paraId="3442A4B8" w14:textId="48B91C08" w:rsidR="00BC0DE2" w:rsidRPr="00244C66" w:rsidRDefault="00BC0DE2" w:rsidP="00244C66">
      <w:pPr>
        <w:spacing w:line="276" w:lineRule="auto"/>
        <w:jc w:val="left"/>
        <w:rPr>
          <w:rFonts w:cstheme="minorHAnsi"/>
          <w:sz w:val="24"/>
          <w:szCs w:val="24"/>
        </w:rPr>
      </w:pPr>
      <w:r w:rsidRPr="00244C66">
        <w:rPr>
          <w:rFonts w:cstheme="minorHAnsi"/>
          <w:sz w:val="24"/>
          <w:szCs w:val="24"/>
        </w:rPr>
        <w:t xml:space="preserve">Osoby zainteresowane udzieleniem opinii nt. projektu </w:t>
      </w:r>
      <w:r w:rsidR="003954F3" w:rsidRPr="00244C66">
        <w:rPr>
          <w:rFonts w:cstheme="minorHAnsi"/>
          <w:sz w:val="24"/>
          <w:szCs w:val="24"/>
        </w:rPr>
        <w:t>„</w:t>
      </w:r>
      <w:r w:rsidRPr="00244C66">
        <w:rPr>
          <w:rFonts w:cstheme="minorHAnsi"/>
          <w:sz w:val="24"/>
          <w:szCs w:val="24"/>
        </w:rPr>
        <w:t>Strategii Rozwoju Gminy Świątniki</w:t>
      </w:r>
      <w:r w:rsidR="00E44EE7">
        <w:rPr>
          <w:rFonts w:cstheme="minorHAnsi"/>
          <w:sz w:val="24"/>
          <w:szCs w:val="24"/>
        </w:rPr>
        <w:t xml:space="preserve"> Górne</w:t>
      </w:r>
      <w:r w:rsidRPr="00244C66">
        <w:rPr>
          <w:rFonts w:cstheme="minorHAnsi"/>
          <w:sz w:val="24"/>
          <w:szCs w:val="24"/>
        </w:rPr>
        <w:t xml:space="preserve"> do 2030 roku</w:t>
      </w:r>
      <w:r w:rsidR="003954F3" w:rsidRPr="00244C66">
        <w:rPr>
          <w:rFonts w:cstheme="minorHAnsi"/>
          <w:sz w:val="24"/>
          <w:szCs w:val="24"/>
        </w:rPr>
        <w:t>”</w:t>
      </w:r>
      <w:r w:rsidRPr="00244C66">
        <w:rPr>
          <w:rFonts w:cstheme="minorHAnsi"/>
          <w:sz w:val="24"/>
          <w:szCs w:val="24"/>
        </w:rPr>
        <w:t xml:space="preserve"> mogły składać swoje uwagi w terminie od 18 sierpnia 2021 roku do 21 września 2021 roku w formie pisemnej przy użyciu formularza dostępnego zarówno w siedzibie Urzędu na Dzienniku Podawczym, jak i do pobrania ze strony Internetowej </w:t>
      </w:r>
      <w:proofErr w:type="spellStart"/>
      <w:r w:rsidRPr="00244C66">
        <w:rPr>
          <w:rFonts w:cstheme="minorHAnsi"/>
          <w:sz w:val="24"/>
          <w:szCs w:val="24"/>
        </w:rPr>
        <w:t>UMiG</w:t>
      </w:r>
      <w:proofErr w:type="spellEnd"/>
      <w:r w:rsidRPr="00244C66">
        <w:rPr>
          <w:rFonts w:cstheme="minorHAnsi"/>
          <w:sz w:val="24"/>
          <w:szCs w:val="24"/>
        </w:rPr>
        <w:t xml:space="preserve"> Świątniki Górne oraz BIP. Uwagi można było złożyć:</w:t>
      </w:r>
    </w:p>
    <w:p w14:paraId="0DE3A6AB" w14:textId="77777777" w:rsidR="00BC0DE2" w:rsidRPr="00244C66" w:rsidRDefault="00BC0DE2" w:rsidP="00244C66">
      <w:pPr>
        <w:pStyle w:val="Akapitzlist"/>
        <w:numPr>
          <w:ilvl w:val="0"/>
          <w:numId w:val="4"/>
        </w:numPr>
        <w:spacing w:line="276" w:lineRule="auto"/>
        <w:jc w:val="left"/>
        <w:rPr>
          <w:rFonts w:cstheme="minorHAnsi"/>
          <w:sz w:val="24"/>
          <w:szCs w:val="24"/>
        </w:rPr>
      </w:pPr>
      <w:r w:rsidRPr="00244C66">
        <w:rPr>
          <w:rFonts w:cstheme="minorHAnsi"/>
          <w:sz w:val="24"/>
          <w:szCs w:val="24"/>
        </w:rPr>
        <w:t xml:space="preserve">elektronicznie poprzez identyfikator </w:t>
      </w:r>
      <w:proofErr w:type="spellStart"/>
      <w:r w:rsidRPr="00244C66">
        <w:rPr>
          <w:rFonts w:cstheme="minorHAnsi"/>
          <w:sz w:val="24"/>
          <w:szCs w:val="24"/>
        </w:rPr>
        <w:t>ePUAP</w:t>
      </w:r>
      <w:proofErr w:type="spellEnd"/>
      <w:r w:rsidRPr="00244C66">
        <w:rPr>
          <w:rFonts w:cstheme="minorHAnsi"/>
          <w:sz w:val="24"/>
          <w:szCs w:val="24"/>
        </w:rPr>
        <w:t>: /</w:t>
      </w:r>
      <w:proofErr w:type="spellStart"/>
      <w:r w:rsidRPr="00244C66">
        <w:rPr>
          <w:rFonts w:cstheme="minorHAnsi"/>
          <w:sz w:val="24"/>
          <w:szCs w:val="24"/>
        </w:rPr>
        <w:t>umigswiatniki</w:t>
      </w:r>
      <w:proofErr w:type="spellEnd"/>
      <w:r w:rsidRPr="00244C66">
        <w:rPr>
          <w:rFonts w:cstheme="minorHAnsi"/>
          <w:sz w:val="24"/>
          <w:szCs w:val="24"/>
        </w:rPr>
        <w:t>/</w:t>
      </w:r>
      <w:proofErr w:type="spellStart"/>
      <w:r w:rsidRPr="00244C66">
        <w:rPr>
          <w:rFonts w:cstheme="minorHAnsi"/>
          <w:sz w:val="24"/>
          <w:szCs w:val="24"/>
        </w:rPr>
        <w:t>skrytkaePUAP</w:t>
      </w:r>
      <w:proofErr w:type="spellEnd"/>
      <w:r w:rsidRPr="00244C66">
        <w:rPr>
          <w:rFonts w:cstheme="minorHAnsi"/>
          <w:sz w:val="24"/>
          <w:szCs w:val="24"/>
        </w:rPr>
        <w:t xml:space="preserve"> ,</w:t>
      </w:r>
    </w:p>
    <w:p w14:paraId="717D989A" w14:textId="64C25A42" w:rsidR="00BC0DE2" w:rsidRPr="00244C66" w:rsidRDefault="00BC0DE2" w:rsidP="00244C66">
      <w:pPr>
        <w:pStyle w:val="Akapitzlist"/>
        <w:numPr>
          <w:ilvl w:val="0"/>
          <w:numId w:val="4"/>
        </w:numPr>
        <w:spacing w:line="276" w:lineRule="auto"/>
        <w:jc w:val="left"/>
        <w:rPr>
          <w:rFonts w:cstheme="minorHAnsi"/>
          <w:sz w:val="24"/>
          <w:szCs w:val="24"/>
        </w:rPr>
      </w:pPr>
      <w:r w:rsidRPr="00244C66">
        <w:rPr>
          <w:rFonts w:cstheme="minorHAnsi"/>
          <w:sz w:val="24"/>
          <w:szCs w:val="24"/>
        </w:rPr>
        <w:t>za pośrednictwem operatora pocztowego na adres: Urząd Miasta i Gminy Świątniki Górne, ul.</w:t>
      </w:r>
      <w:r w:rsidR="00BA522E" w:rsidRPr="00244C66">
        <w:rPr>
          <w:rFonts w:cstheme="minorHAnsi"/>
          <w:sz w:val="24"/>
          <w:szCs w:val="24"/>
        </w:rPr>
        <w:t> </w:t>
      </w:r>
      <w:r w:rsidRPr="00244C66">
        <w:rPr>
          <w:rFonts w:cstheme="minorHAnsi"/>
          <w:sz w:val="24"/>
          <w:szCs w:val="24"/>
        </w:rPr>
        <w:t>K. Bruchnalskiego 36, 32-040 Świątniki Górne,</w:t>
      </w:r>
    </w:p>
    <w:p w14:paraId="7A544BC5" w14:textId="23F63E57" w:rsidR="00BC0DE2" w:rsidRPr="00244C66" w:rsidRDefault="00BC0DE2" w:rsidP="00244C66">
      <w:pPr>
        <w:pStyle w:val="Akapitzlist"/>
        <w:numPr>
          <w:ilvl w:val="0"/>
          <w:numId w:val="4"/>
        </w:numPr>
        <w:spacing w:line="276" w:lineRule="auto"/>
        <w:jc w:val="left"/>
        <w:rPr>
          <w:rFonts w:cstheme="minorHAnsi"/>
          <w:sz w:val="24"/>
          <w:szCs w:val="24"/>
        </w:rPr>
      </w:pPr>
      <w:r w:rsidRPr="00244C66">
        <w:rPr>
          <w:rFonts w:cstheme="minorHAnsi"/>
          <w:sz w:val="24"/>
          <w:szCs w:val="24"/>
        </w:rPr>
        <w:t>osobiście na Dzienniku Podawczym Urzędu Miasta i Gminy Świątniki</w:t>
      </w:r>
      <w:r w:rsidR="00E44EE7">
        <w:rPr>
          <w:rFonts w:cstheme="minorHAnsi"/>
          <w:sz w:val="24"/>
          <w:szCs w:val="24"/>
        </w:rPr>
        <w:t xml:space="preserve"> Górne</w:t>
      </w:r>
      <w:r w:rsidRPr="00244C66">
        <w:rPr>
          <w:rFonts w:cstheme="minorHAnsi"/>
          <w:sz w:val="24"/>
          <w:szCs w:val="24"/>
        </w:rPr>
        <w:t>.</w:t>
      </w:r>
    </w:p>
    <w:p w14:paraId="3E6A0771" w14:textId="08F8ED97" w:rsidR="00BC0DE2" w:rsidRPr="00244C66" w:rsidRDefault="00BC0DE2" w:rsidP="00244C66">
      <w:pPr>
        <w:spacing w:line="276" w:lineRule="auto"/>
        <w:jc w:val="left"/>
        <w:rPr>
          <w:rFonts w:cstheme="minorHAnsi"/>
          <w:sz w:val="24"/>
          <w:szCs w:val="24"/>
        </w:rPr>
      </w:pPr>
      <w:r w:rsidRPr="00244C66">
        <w:rPr>
          <w:rFonts w:cstheme="minorHAnsi"/>
          <w:sz w:val="24"/>
          <w:szCs w:val="24"/>
        </w:rPr>
        <w:t>Spotkanie konsultacyjne projektu strategii odbędzie się w dniu 16 września 2021 roku o godzinie 16.00 w Urzędzie Miasta i Gminy Świątniki Górne w Sali Obrad.</w:t>
      </w:r>
    </w:p>
    <w:p w14:paraId="50BF8143" w14:textId="367695A9" w:rsidR="00BC0DE2" w:rsidRPr="00244C66" w:rsidRDefault="00BC0DE2" w:rsidP="00244C66">
      <w:pPr>
        <w:spacing w:line="276" w:lineRule="auto"/>
        <w:jc w:val="left"/>
        <w:rPr>
          <w:rFonts w:cstheme="minorHAnsi"/>
          <w:sz w:val="24"/>
          <w:szCs w:val="24"/>
        </w:rPr>
      </w:pPr>
      <w:r w:rsidRPr="00244C66">
        <w:rPr>
          <w:rFonts w:cstheme="minorHAnsi"/>
          <w:sz w:val="24"/>
          <w:szCs w:val="24"/>
        </w:rPr>
        <w:t>Równolegle Burmistrz</w:t>
      </w:r>
      <w:r w:rsidR="001B1AA7">
        <w:rPr>
          <w:rFonts w:cstheme="minorHAnsi"/>
          <w:sz w:val="24"/>
          <w:szCs w:val="24"/>
        </w:rPr>
        <w:t xml:space="preserve"> Miasta i</w:t>
      </w:r>
      <w:r w:rsidRPr="00244C66">
        <w:rPr>
          <w:rFonts w:cstheme="minorHAnsi"/>
          <w:sz w:val="24"/>
          <w:szCs w:val="24"/>
        </w:rPr>
        <w:t xml:space="preserve"> Gminy Świątniki Górne wystąpił z prośbą o opinię nt. projektu </w:t>
      </w:r>
      <w:r w:rsidR="003954F3" w:rsidRPr="00244C66">
        <w:rPr>
          <w:rFonts w:cstheme="minorHAnsi"/>
          <w:sz w:val="24"/>
          <w:szCs w:val="24"/>
        </w:rPr>
        <w:t>„</w:t>
      </w:r>
      <w:r w:rsidRPr="00244C66">
        <w:rPr>
          <w:rFonts w:cstheme="minorHAnsi"/>
          <w:sz w:val="24"/>
          <w:szCs w:val="24"/>
        </w:rPr>
        <w:t xml:space="preserve">Strategii Rozwoju Gminy Świątniki Górne </w:t>
      </w:r>
      <w:r w:rsidR="003954F3" w:rsidRPr="00244C66">
        <w:rPr>
          <w:rFonts w:cstheme="minorHAnsi"/>
          <w:sz w:val="24"/>
          <w:szCs w:val="24"/>
        </w:rPr>
        <w:t xml:space="preserve">do </w:t>
      </w:r>
      <w:r w:rsidRPr="00244C66">
        <w:rPr>
          <w:rFonts w:cstheme="minorHAnsi"/>
          <w:sz w:val="24"/>
          <w:szCs w:val="24"/>
        </w:rPr>
        <w:t>2030</w:t>
      </w:r>
      <w:r w:rsidR="003954F3" w:rsidRPr="00244C66">
        <w:rPr>
          <w:rFonts w:cstheme="minorHAnsi"/>
          <w:sz w:val="24"/>
          <w:szCs w:val="24"/>
        </w:rPr>
        <w:t xml:space="preserve"> roku”</w:t>
      </w:r>
      <w:r w:rsidRPr="00244C66">
        <w:rPr>
          <w:rFonts w:cstheme="minorHAnsi"/>
          <w:sz w:val="24"/>
          <w:szCs w:val="24"/>
        </w:rPr>
        <w:t xml:space="preserve"> do sąsiednich gmin, Stowarzyszenia Metropolia Krakowska oraz do Państwowego Gospodarstwa Wodnego Wody Polskie. </w:t>
      </w:r>
    </w:p>
    <w:p w14:paraId="54739ABE" w14:textId="00D26A68" w:rsidR="00BB1FC6" w:rsidRPr="00244C66" w:rsidRDefault="00BB1FC6" w:rsidP="00E04B1C">
      <w:pPr>
        <w:spacing w:line="240" w:lineRule="auto"/>
        <w:rPr>
          <w:rStyle w:val="markedcontent"/>
          <w:rFonts w:cstheme="minorHAnsi"/>
          <w:b/>
          <w:sz w:val="24"/>
          <w:szCs w:val="24"/>
        </w:rPr>
      </w:pPr>
      <w:r w:rsidRPr="00244C66">
        <w:rPr>
          <w:rStyle w:val="markedcontent"/>
          <w:rFonts w:cstheme="minorHAnsi"/>
          <w:b/>
          <w:sz w:val="24"/>
          <w:szCs w:val="24"/>
        </w:rPr>
        <w:t>W trakcie trwania konsultacji wpłynęły następujące wnioski i uwagi:</w:t>
      </w:r>
    </w:p>
    <w:tbl>
      <w:tblPr>
        <w:tblStyle w:val="Tabela-Siatka"/>
        <w:tblW w:w="0" w:type="auto"/>
        <w:tblLook w:val="04A0" w:firstRow="1" w:lastRow="0" w:firstColumn="1" w:lastColumn="0" w:noHBand="0" w:noVBand="1"/>
      </w:tblPr>
      <w:tblGrid>
        <w:gridCol w:w="520"/>
        <w:gridCol w:w="4534"/>
        <w:gridCol w:w="1729"/>
        <w:gridCol w:w="2505"/>
      </w:tblGrid>
      <w:tr w:rsidR="005574B4" w:rsidRPr="00244C66" w14:paraId="3549B453" w14:textId="77777777" w:rsidTr="00D76FBC">
        <w:trPr>
          <w:tblHeader/>
        </w:trPr>
        <w:tc>
          <w:tcPr>
            <w:tcW w:w="495" w:type="dxa"/>
            <w:shd w:val="clear" w:color="auto" w:fill="002D88" w:themeFill="accent1" w:themeFillTint="E6"/>
            <w:vAlign w:val="center"/>
          </w:tcPr>
          <w:p w14:paraId="72045259" w14:textId="77777777" w:rsidR="00BB1FC6" w:rsidRPr="00244C66" w:rsidRDefault="00BB1FC6" w:rsidP="00DD3864">
            <w:pPr>
              <w:jc w:val="center"/>
              <w:rPr>
                <w:rFonts w:cstheme="minorHAnsi"/>
                <w:bCs/>
                <w:sz w:val="24"/>
                <w:szCs w:val="24"/>
              </w:rPr>
            </w:pPr>
            <w:r w:rsidRPr="00244C66">
              <w:rPr>
                <w:rFonts w:cstheme="minorHAnsi"/>
                <w:bCs/>
                <w:sz w:val="24"/>
                <w:szCs w:val="24"/>
              </w:rPr>
              <w:t>Lp.</w:t>
            </w:r>
          </w:p>
        </w:tc>
        <w:tc>
          <w:tcPr>
            <w:tcW w:w="4575" w:type="dxa"/>
            <w:shd w:val="clear" w:color="auto" w:fill="002D88" w:themeFill="accent1" w:themeFillTint="E6"/>
            <w:vAlign w:val="center"/>
          </w:tcPr>
          <w:p w14:paraId="2AD80CAE" w14:textId="77777777" w:rsidR="00BB1FC6" w:rsidRPr="00244C66" w:rsidRDefault="00BB1FC6" w:rsidP="00DD3864">
            <w:pPr>
              <w:jc w:val="center"/>
              <w:rPr>
                <w:rFonts w:cstheme="minorHAnsi"/>
                <w:bCs/>
                <w:sz w:val="24"/>
                <w:szCs w:val="24"/>
              </w:rPr>
            </w:pPr>
            <w:r w:rsidRPr="00244C66">
              <w:rPr>
                <w:rFonts w:cstheme="minorHAnsi"/>
                <w:bCs/>
                <w:sz w:val="24"/>
                <w:szCs w:val="24"/>
              </w:rPr>
              <w:t>Zgłoszona uwaga</w:t>
            </w:r>
          </w:p>
        </w:tc>
        <w:tc>
          <w:tcPr>
            <w:tcW w:w="1701" w:type="dxa"/>
            <w:shd w:val="clear" w:color="auto" w:fill="002D88" w:themeFill="accent1" w:themeFillTint="E6"/>
            <w:vAlign w:val="center"/>
          </w:tcPr>
          <w:p w14:paraId="3D6B3BDD" w14:textId="77777777" w:rsidR="00BB1FC6" w:rsidRPr="00244C66" w:rsidRDefault="00BB1FC6" w:rsidP="00DD3864">
            <w:pPr>
              <w:jc w:val="center"/>
              <w:rPr>
                <w:rFonts w:cstheme="minorHAnsi"/>
                <w:bCs/>
                <w:sz w:val="24"/>
                <w:szCs w:val="24"/>
              </w:rPr>
            </w:pPr>
            <w:r w:rsidRPr="00244C66">
              <w:rPr>
                <w:rFonts w:cstheme="minorHAnsi"/>
                <w:bCs/>
                <w:sz w:val="24"/>
                <w:szCs w:val="24"/>
              </w:rPr>
              <w:t>Podmiot/ osoba zgłaszająca uwagę</w:t>
            </w:r>
          </w:p>
        </w:tc>
        <w:tc>
          <w:tcPr>
            <w:tcW w:w="2517" w:type="dxa"/>
            <w:shd w:val="clear" w:color="auto" w:fill="002D88" w:themeFill="accent1" w:themeFillTint="E6"/>
            <w:vAlign w:val="center"/>
          </w:tcPr>
          <w:p w14:paraId="55E46028" w14:textId="77777777" w:rsidR="00BB1FC6" w:rsidRPr="00244C66" w:rsidRDefault="00BB1FC6" w:rsidP="00DD3864">
            <w:pPr>
              <w:jc w:val="center"/>
              <w:rPr>
                <w:rFonts w:cstheme="minorHAnsi"/>
                <w:bCs/>
                <w:sz w:val="24"/>
                <w:szCs w:val="24"/>
              </w:rPr>
            </w:pPr>
            <w:r w:rsidRPr="00244C66">
              <w:rPr>
                <w:rFonts w:cstheme="minorHAnsi"/>
                <w:bCs/>
                <w:sz w:val="24"/>
                <w:szCs w:val="24"/>
              </w:rPr>
              <w:t>Odniesienie się do uwagi</w:t>
            </w:r>
          </w:p>
        </w:tc>
      </w:tr>
      <w:tr w:rsidR="005574B4" w:rsidRPr="00244C66" w14:paraId="7F57D63D" w14:textId="77777777" w:rsidTr="00D76FBC">
        <w:tc>
          <w:tcPr>
            <w:tcW w:w="495" w:type="dxa"/>
          </w:tcPr>
          <w:p w14:paraId="6797AD2A" w14:textId="77777777" w:rsidR="00BB1FC6" w:rsidRPr="00244C66" w:rsidRDefault="00A606DD" w:rsidP="00E04B1C">
            <w:pPr>
              <w:jc w:val="center"/>
              <w:rPr>
                <w:rFonts w:cstheme="minorHAnsi"/>
                <w:sz w:val="24"/>
                <w:szCs w:val="24"/>
              </w:rPr>
            </w:pPr>
            <w:r w:rsidRPr="00244C66">
              <w:rPr>
                <w:rFonts w:cstheme="minorHAnsi"/>
                <w:sz w:val="24"/>
                <w:szCs w:val="24"/>
              </w:rPr>
              <w:t>1.</w:t>
            </w:r>
          </w:p>
        </w:tc>
        <w:tc>
          <w:tcPr>
            <w:tcW w:w="4575" w:type="dxa"/>
          </w:tcPr>
          <w:p w14:paraId="4B052171" w14:textId="6AF6516C" w:rsidR="003B5A18" w:rsidRPr="00244C66" w:rsidRDefault="003B5A18" w:rsidP="003B5A18">
            <w:pPr>
              <w:jc w:val="left"/>
              <w:rPr>
                <w:rFonts w:cstheme="minorHAnsi"/>
                <w:sz w:val="24"/>
                <w:szCs w:val="24"/>
              </w:rPr>
            </w:pPr>
            <w:r w:rsidRPr="00244C66">
              <w:rPr>
                <w:rFonts w:cstheme="minorHAnsi"/>
                <w:sz w:val="24"/>
                <w:szCs w:val="24"/>
              </w:rPr>
              <w:t xml:space="preserve">Uwaga ogólna, dotyczy </w:t>
            </w:r>
          </w:p>
          <w:p w14:paraId="788F2651" w14:textId="77777777" w:rsidR="008341E3" w:rsidRPr="00244C66" w:rsidRDefault="003B5A18" w:rsidP="003B5A18">
            <w:pPr>
              <w:jc w:val="left"/>
              <w:rPr>
                <w:rFonts w:cstheme="minorHAnsi"/>
                <w:sz w:val="24"/>
                <w:szCs w:val="24"/>
              </w:rPr>
            </w:pPr>
            <w:r w:rsidRPr="00244C66">
              <w:rPr>
                <w:rFonts w:cstheme="minorHAnsi"/>
                <w:sz w:val="24"/>
                <w:szCs w:val="24"/>
              </w:rPr>
              <w:t>różnych części dokumentu.</w:t>
            </w:r>
          </w:p>
          <w:p w14:paraId="346AF3B1" w14:textId="77777777" w:rsidR="003B5A18" w:rsidRPr="00244C66" w:rsidRDefault="003B5A18" w:rsidP="003B5A18">
            <w:pPr>
              <w:jc w:val="left"/>
              <w:rPr>
                <w:rFonts w:cstheme="minorHAnsi"/>
                <w:sz w:val="24"/>
                <w:szCs w:val="24"/>
              </w:rPr>
            </w:pPr>
            <w:r w:rsidRPr="00244C66">
              <w:rPr>
                <w:rFonts w:cstheme="minorHAnsi"/>
                <w:sz w:val="24"/>
                <w:szCs w:val="24"/>
              </w:rPr>
              <w:t xml:space="preserve">Konieczność doprecyzowania sformułowania Aglomeracji Krakowskiej lub </w:t>
            </w:r>
            <w:r w:rsidRPr="00244C66">
              <w:rPr>
                <w:rFonts w:cstheme="minorHAnsi"/>
                <w:sz w:val="24"/>
                <w:szCs w:val="24"/>
              </w:rPr>
              <w:lastRenderedPageBreak/>
              <w:t>jego zmiany.</w:t>
            </w:r>
          </w:p>
          <w:p w14:paraId="0A13245B" w14:textId="3908CA87" w:rsidR="003B5A18" w:rsidRPr="00244C66" w:rsidRDefault="003B5A18" w:rsidP="003B5A18">
            <w:pPr>
              <w:jc w:val="left"/>
              <w:rPr>
                <w:rFonts w:cstheme="minorHAnsi"/>
                <w:sz w:val="24"/>
                <w:szCs w:val="24"/>
              </w:rPr>
            </w:pPr>
            <w:r w:rsidRPr="00244C66">
              <w:rPr>
                <w:rFonts w:cstheme="minorHAnsi"/>
                <w:sz w:val="24"/>
                <w:szCs w:val="24"/>
              </w:rPr>
              <w:t xml:space="preserve">Jeżeli sformułowanie odnosi się do działań podejmowanych wspólnie przez 15 gmin Krakowskiego Obszaru Funkcjonalnego to są to działania podejmowane w ramach </w:t>
            </w:r>
            <w:bookmarkStart w:id="0" w:name="_Hlk84844685"/>
            <w:r w:rsidRPr="00244C66">
              <w:rPr>
                <w:rFonts w:cstheme="minorHAnsi"/>
                <w:sz w:val="24"/>
                <w:szCs w:val="24"/>
              </w:rPr>
              <w:t xml:space="preserve">Stowarzyszenia Metropolia Krakowska </w:t>
            </w:r>
            <w:bookmarkEnd w:id="0"/>
            <w:r w:rsidRPr="00244C66">
              <w:rPr>
                <w:rFonts w:cstheme="minorHAnsi"/>
                <w:sz w:val="24"/>
                <w:szCs w:val="24"/>
              </w:rPr>
              <w:t>i należałoby słowo Aglomeracji zmienić na Stowarzyszenia Metropolia.</w:t>
            </w:r>
          </w:p>
        </w:tc>
        <w:tc>
          <w:tcPr>
            <w:tcW w:w="1701" w:type="dxa"/>
          </w:tcPr>
          <w:p w14:paraId="1B6674F4" w14:textId="33E7F0CF" w:rsidR="00BB1FC6" w:rsidRPr="00244C66" w:rsidRDefault="003B5A18" w:rsidP="00E04B1C">
            <w:pPr>
              <w:jc w:val="left"/>
              <w:rPr>
                <w:rFonts w:cstheme="minorHAnsi"/>
                <w:sz w:val="24"/>
                <w:szCs w:val="24"/>
              </w:rPr>
            </w:pPr>
            <w:r w:rsidRPr="00244C66">
              <w:rPr>
                <w:rFonts w:cstheme="minorHAnsi"/>
                <w:sz w:val="24"/>
                <w:szCs w:val="24"/>
              </w:rPr>
              <w:lastRenderedPageBreak/>
              <w:t xml:space="preserve">Stowarzyszenie Metropolia Krakowska </w:t>
            </w:r>
          </w:p>
        </w:tc>
        <w:tc>
          <w:tcPr>
            <w:tcW w:w="2517" w:type="dxa"/>
          </w:tcPr>
          <w:p w14:paraId="44A16977" w14:textId="4551D374" w:rsidR="008341E3" w:rsidRPr="00244C66" w:rsidRDefault="003B5A18" w:rsidP="00E04B1C">
            <w:pPr>
              <w:jc w:val="left"/>
              <w:rPr>
                <w:rFonts w:cstheme="minorHAnsi"/>
                <w:sz w:val="24"/>
                <w:szCs w:val="24"/>
              </w:rPr>
            </w:pPr>
            <w:r w:rsidRPr="00244C66">
              <w:rPr>
                <w:rFonts w:cstheme="minorHAnsi"/>
                <w:sz w:val="24"/>
                <w:szCs w:val="24"/>
              </w:rPr>
              <w:t xml:space="preserve">Uwagę przyjmuje się za zasadną. </w:t>
            </w:r>
            <w:r w:rsidR="001368B0" w:rsidRPr="00244C66">
              <w:rPr>
                <w:rFonts w:cstheme="minorHAnsi"/>
                <w:sz w:val="24"/>
                <w:szCs w:val="24"/>
              </w:rPr>
              <w:t xml:space="preserve">W treści Strategii dokonano stosownych zmian </w:t>
            </w:r>
            <w:r w:rsidR="001368B0" w:rsidRPr="00244C66">
              <w:rPr>
                <w:rFonts w:cstheme="minorHAnsi"/>
                <w:sz w:val="24"/>
                <w:szCs w:val="24"/>
              </w:rPr>
              <w:lastRenderedPageBreak/>
              <w:t xml:space="preserve">zapisów. </w:t>
            </w:r>
          </w:p>
        </w:tc>
      </w:tr>
      <w:tr w:rsidR="003B5A18" w:rsidRPr="00244C66" w14:paraId="7E8103FD" w14:textId="77777777" w:rsidTr="00D76FBC">
        <w:tc>
          <w:tcPr>
            <w:tcW w:w="495" w:type="dxa"/>
          </w:tcPr>
          <w:p w14:paraId="67C2E475" w14:textId="77777777" w:rsidR="003B5A18" w:rsidRPr="00244C66" w:rsidRDefault="003B5A18" w:rsidP="003B5A18">
            <w:pPr>
              <w:jc w:val="center"/>
              <w:rPr>
                <w:rFonts w:cstheme="minorHAnsi"/>
                <w:sz w:val="24"/>
                <w:szCs w:val="24"/>
              </w:rPr>
            </w:pPr>
            <w:r w:rsidRPr="00244C66">
              <w:rPr>
                <w:rFonts w:cstheme="minorHAnsi"/>
                <w:sz w:val="24"/>
                <w:szCs w:val="24"/>
              </w:rPr>
              <w:lastRenderedPageBreak/>
              <w:t>2.</w:t>
            </w:r>
          </w:p>
        </w:tc>
        <w:tc>
          <w:tcPr>
            <w:tcW w:w="4575" w:type="dxa"/>
          </w:tcPr>
          <w:p w14:paraId="13511428" w14:textId="77777777" w:rsidR="003B5A18" w:rsidRPr="00244C66" w:rsidRDefault="003B5A18" w:rsidP="003B5A18">
            <w:pPr>
              <w:jc w:val="left"/>
              <w:rPr>
                <w:rFonts w:cstheme="minorHAnsi"/>
                <w:sz w:val="24"/>
                <w:szCs w:val="24"/>
              </w:rPr>
            </w:pPr>
            <w:r w:rsidRPr="00244C66">
              <w:rPr>
                <w:rFonts w:cstheme="minorHAnsi"/>
                <w:sz w:val="24"/>
                <w:szCs w:val="24"/>
              </w:rPr>
              <w:t>2.4 Synteza diagnozy; tabela: Analiza SWOT, Str. 18.</w:t>
            </w:r>
          </w:p>
          <w:p w14:paraId="09096474" w14:textId="25E90FF7" w:rsidR="003B5A18" w:rsidRPr="00244C66" w:rsidRDefault="003B5A18" w:rsidP="003B5A18">
            <w:pPr>
              <w:jc w:val="left"/>
              <w:rPr>
                <w:rFonts w:cstheme="minorHAnsi"/>
                <w:sz w:val="24"/>
                <w:szCs w:val="24"/>
              </w:rPr>
            </w:pPr>
            <w:r w:rsidRPr="00244C66">
              <w:rPr>
                <w:rFonts w:cstheme="minorHAnsi"/>
                <w:sz w:val="24"/>
                <w:szCs w:val="24"/>
              </w:rPr>
              <w:t>W ramach analizy SWOT warto uwzględnić jako szansę członkostwo gminy w Stowarzyszeniu Metropolia Krakowska. Gminy członkowskie SMK podejmują szereg wspólnych i spójnych działań w zakresie współpracy.</w:t>
            </w:r>
          </w:p>
        </w:tc>
        <w:tc>
          <w:tcPr>
            <w:tcW w:w="1701" w:type="dxa"/>
          </w:tcPr>
          <w:p w14:paraId="485F6C50" w14:textId="01898225" w:rsidR="003B5A18" w:rsidRPr="00244C66" w:rsidRDefault="003B5A18" w:rsidP="003B5A18">
            <w:pPr>
              <w:jc w:val="left"/>
              <w:rPr>
                <w:rFonts w:cstheme="minorHAnsi"/>
                <w:sz w:val="24"/>
                <w:szCs w:val="24"/>
              </w:rPr>
            </w:pPr>
            <w:r w:rsidRPr="00244C66">
              <w:rPr>
                <w:rFonts w:cstheme="minorHAnsi"/>
                <w:sz w:val="24"/>
                <w:szCs w:val="24"/>
              </w:rPr>
              <w:t xml:space="preserve">Stowarzyszenie Metropolia Krakowska </w:t>
            </w:r>
          </w:p>
        </w:tc>
        <w:tc>
          <w:tcPr>
            <w:tcW w:w="2517" w:type="dxa"/>
          </w:tcPr>
          <w:p w14:paraId="370950EE" w14:textId="77777777" w:rsidR="003B5A18" w:rsidRPr="00244C66" w:rsidRDefault="003B5A18" w:rsidP="003B5A18">
            <w:pPr>
              <w:jc w:val="left"/>
              <w:rPr>
                <w:rFonts w:cstheme="minorHAnsi"/>
                <w:sz w:val="24"/>
                <w:szCs w:val="24"/>
              </w:rPr>
            </w:pPr>
            <w:r w:rsidRPr="00244C66">
              <w:rPr>
                <w:rFonts w:cstheme="minorHAnsi"/>
                <w:sz w:val="24"/>
                <w:szCs w:val="24"/>
              </w:rPr>
              <w:t xml:space="preserve">Uwagę przyjmuje się za zasadną. </w:t>
            </w:r>
          </w:p>
          <w:p w14:paraId="0FCB1F6B" w14:textId="2510823C" w:rsidR="001368B0" w:rsidRPr="00244C66" w:rsidRDefault="001368B0" w:rsidP="003B5A18">
            <w:pPr>
              <w:jc w:val="left"/>
              <w:rPr>
                <w:rFonts w:cstheme="minorHAnsi"/>
                <w:sz w:val="24"/>
                <w:szCs w:val="24"/>
              </w:rPr>
            </w:pPr>
            <w:r w:rsidRPr="00244C66">
              <w:rPr>
                <w:rFonts w:cstheme="minorHAnsi"/>
                <w:sz w:val="24"/>
                <w:szCs w:val="24"/>
              </w:rPr>
              <w:t>W analizie SWOT</w:t>
            </w:r>
            <w:r w:rsidR="0060381C" w:rsidRPr="00244C66">
              <w:rPr>
                <w:rFonts w:cstheme="minorHAnsi"/>
                <w:sz w:val="24"/>
                <w:szCs w:val="24"/>
              </w:rPr>
              <w:t xml:space="preserve"> rozwinięto następujący czynnik „Współpraca ponadlokalna, ukierunkowana na kompleksowe rozwiązywanie problemów i wykorzystanie atutów rozwojowych </w:t>
            </w:r>
            <w:r w:rsidR="0060381C" w:rsidRPr="00244C66">
              <w:rPr>
                <w:rFonts w:cstheme="minorHAnsi"/>
                <w:sz w:val="24"/>
                <w:szCs w:val="24"/>
              </w:rPr>
              <w:br/>
              <w:t>w układach funkcjonalnych</w:t>
            </w:r>
            <w:r w:rsidR="0060381C" w:rsidRPr="00244C66">
              <w:rPr>
                <w:rFonts w:cstheme="minorHAnsi"/>
                <w:b/>
                <w:bCs/>
                <w:sz w:val="24"/>
                <w:szCs w:val="24"/>
              </w:rPr>
              <w:t xml:space="preserve">, </w:t>
            </w:r>
            <w:r w:rsidR="0060381C" w:rsidRPr="00244C66">
              <w:rPr>
                <w:rFonts w:cstheme="minorHAnsi"/>
                <w:sz w:val="24"/>
                <w:szCs w:val="24"/>
              </w:rPr>
              <w:t>w tym członkostwo gminy w Stowarzyszeniu Metropolia Krakowska</w:t>
            </w:r>
            <w:r w:rsidRPr="00244C66">
              <w:rPr>
                <w:rFonts w:cstheme="minorHAnsi"/>
                <w:sz w:val="24"/>
                <w:szCs w:val="24"/>
              </w:rPr>
              <w:t>.</w:t>
            </w:r>
            <w:r w:rsidR="0060381C" w:rsidRPr="00244C66">
              <w:rPr>
                <w:rFonts w:cstheme="minorHAnsi"/>
                <w:sz w:val="24"/>
                <w:szCs w:val="24"/>
              </w:rPr>
              <w:t>”</w:t>
            </w:r>
          </w:p>
        </w:tc>
      </w:tr>
      <w:tr w:rsidR="003B5A18" w:rsidRPr="00244C66" w14:paraId="6C350FB8" w14:textId="77777777" w:rsidTr="00D76FBC">
        <w:tc>
          <w:tcPr>
            <w:tcW w:w="495" w:type="dxa"/>
          </w:tcPr>
          <w:p w14:paraId="368302FD" w14:textId="77777777" w:rsidR="003B5A18" w:rsidRPr="00244C66" w:rsidRDefault="003B5A18" w:rsidP="003B5A18">
            <w:pPr>
              <w:jc w:val="center"/>
              <w:rPr>
                <w:rFonts w:cstheme="minorHAnsi"/>
                <w:sz w:val="24"/>
                <w:szCs w:val="24"/>
              </w:rPr>
            </w:pPr>
            <w:r w:rsidRPr="00244C66">
              <w:rPr>
                <w:rFonts w:cstheme="minorHAnsi"/>
                <w:sz w:val="24"/>
                <w:szCs w:val="24"/>
              </w:rPr>
              <w:t>3.</w:t>
            </w:r>
          </w:p>
        </w:tc>
        <w:tc>
          <w:tcPr>
            <w:tcW w:w="4575" w:type="dxa"/>
          </w:tcPr>
          <w:p w14:paraId="3DDF594E" w14:textId="77777777" w:rsidR="003B5A18" w:rsidRPr="00244C66" w:rsidRDefault="003B5A18" w:rsidP="003B5A18">
            <w:pPr>
              <w:jc w:val="left"/>
              <w:rPr>
                <w:rFonts w:cstheme="minorHAnsi"/>
                <w:sz w:val="24"/>
                <w:szCs w:val="24"/>
              </w:rPr>
            </w:pPr>
            <w:r w:rsidRPr="00244C66">
              <w:rPr>
                <w:rFonts w:cstheme="minorHAnsi"/>
                <w:sz w:val="24"/>
                <w:szCs w:val="24"/>
              </w:rPr>
              <w:t>2.4 Synteza diagnozy; tabela: Analiza SWOT, Str. 18.</w:t>
            </w:r>
          </w:p>
          <w:p w14:paraId="67CE40F0" w14:textId="77777777" w:rsidR="003B5A18" w:rsidRPr="00244C66" w:rsidRDefault="003B5A18" w:rsidP="003B5A18">
            <w:pPr>
              <w:jc w:val="left"/>
              <w:rPr>
                <w:rFonts w:cstheme="minorHAnsi"/>
                <w:sz w:val="24"/>
                <w:szCs w:val="24"/>
              </w:rPr>
            </w:pPr>
            <w:r w:rsidRPr="00244C66">
              <w:rPr>
                <w:rFonts w:cstheme="minorHAnsi"/>
                <w:sz w:val="24"/>
                <w:szCs w:val="24"/>
              </w:rPr>
              <w:t>Warto wprost w słabych stronach gminy wskazać: brak dostępnych i odpowiednio przygotowanych dużych terenów inwestycyjnych.</w:t>
            </w:r>
          </w:p>
          <w:p w14:paraId="249D77F1" w14:textId="6FDF1C75" w:rsidR="003B5A18" w:rsidRPr="00244C66" w:rsidRDefault="003B5A18" w:rsidP="003B5A18">
            <w:pPr>
              <w:jc w:val="left"/>
              <w:rPr>
                <w:rFonts w:cstheme="minorHAnsi"/>
                <w:sz w:val="24"/>
                <w:szCs w:val="24"/>
              </w:rPr>
            </w:pPr>
            <w:r w:rsidRPr="00244C66">
              <w:rPr>
                <w:rFonts w:cstheme="minorHAnsi"/>
                <w:sz w:val="24"/>
                <w:szCs w:val="24"/>
              </w:rPr>
              <w:t>Jednym z wniosków płynących z diagnozy, które nie znalazły bezpośredniego odzwierciedlenia w analizie SWOT jest brak dostępnych i odpowiednio przygotowanych dużych terenów inwestycyjnych.</w:t>
            </w:r>
          </w:p>
        </w:tc>
        <w:tc>
          <w:tcPr>
            <w:tcW w:w="1701" w:type="dxa"/>
          </w:tcPr>
          <w:p w14:paraId="480F1ADD" w14:textId="5B133DBA" w:rsidR="003B5A18" w:rsidRPr="00244C66" w:rsidRDefault="003B5A18" w:rsidP="003B5A18">
            <w:pPr>
              <w:jc w:val="left"/>
              <w:rPr>
                <w:rFonts w:cstheme="minorHAnsi"/>
                <w:sz w:val="24"/>
                <w:szCs w:val="24"/>
              </w:rPr>
            </w:pPr>
            <w:r w:rsidRPr="00244C66">
              <w:rPr>
                <w:rFonts w:cstheme="minorHAnsi"/>
                <w:sz w:val="24"/>
                <w:szCs w:val="24"/>
              </w:rPr>
              <w:t xml:space="preserve">Stowarzyszenie Metropolia Krakowska </w:t>
            </w:r>
          </w:p>
        </w:tc>
        <w:tc>
          <w:tcPr>
            <w:tcW w:w="2517" w:type="dxa"/>
          </w:tcPr>
          <w:p w14:paraId="0686609D" w14:textId="2E3CBEDB" w:rsidR="003B5A18" w:rsidRPr="00244C66" w:rsidRDefault="003B5A18" w:rsidP="003B5A18">
            <w:pPr>
              <w:jc w:val="left"/>
              <w:rPr>
                <w:rFonts w:cstheme="minorHAnsi"/>
                <w:sz w:val="24"/>
                <w:szCs w:val="24"/>
              </w:rPr>
            </w:pPr>
            <w:r w:rsidRPr="00244C66">
              <w:rPr>
                <w:rFonts w:cstheme="minorHAnsi"/>
                <w:sz w:val="24"/>
                <w:szCs w:val="24"/>
              </w:rPr>
              <w:t xml:space="preserve">Uwagę przyjmuje się za zasadną. </w:t>
            </w:r>
            <w:r w:rsidR="001368B0" w:rsidRPr="00244C66">
              <w:rPr>
                <w:rFonts w:cstheme="minorHAnsi"/>
                <w:sz w:val="24"/>
                <w:szCs w:val="24"/>
              </w:rPr>
              <w:t xml:space="preserve">Po stronie słabych stron </w:t>
            </w:r>
            <w:r w:rsidR="00274031" w:rsidRPr="00244C66">
              <w:rPr>
                <w:rFonts w:cstheme="minorHAnsi"/>
                <w:sz w:val="24"/>
                <w:szCs w:val="24"/>
              </w:rPr>
              <w:t>rozwinięto treść czynnika „6. Ograniczenia dla rozwoju funkcji gospodarczych bezpośrednio na obszarze gminy, w tym brak dostępnych i odpowiednio przygotowanych dużych terenów inwestycyjnych.”</w:t>
            </w:r>
          </w:p>
        </w:tc>
      </w:tr>
      <w:tr w:rsidR="00D76FBC" w:rsidRPr="00244C66" w14:paraId="6EA30C8C" w14:textId="77777777" w:rsidTr="00D76FBC">
        <w:tc>
          <w:tcPr>
            <w:tcW w:w="495" w:type="dxa"/>
          </w:tcPr>
          <w:p w14:paraId="4AA8F7E2" w14:textId="77777777" w:rsidR="00D76FBC" w:rsidRPr="00244C66" w:rsidRDefault="00D76FBC" w:rsidP="00D76FBC">
            <w:pPr>
              <w:jc w:val="center"/>
              <w:rPr>
                <w:rFonts w:cstheme="minorHAnsi"/>
                <w:sz w:val="24"/>
                <w:szCs w:val="24"/>
              </w:rPr>
            </w:pPr>
            <w:r w:rsidRPr="00244C66">
              <w:rPr>
                <w:rFonts w:cstheme="minorHAnsi"/>
                <w:sz w:val="24"/>
                <w:szCs w:val="24"/>
              </w:rPr>
              <w:t>4.</w:t>
            </w:r>
          </w:p>
        </w:tc>
        <w:tc>
          <w:tcPr>
            <w:tcW w:w="4575" w:type="dxa"/>
          </w:tcPr>
          <w:p w14:paraId="315C03BF" w14:textId="77777777" w:rsidR="00D76FBC" w:rsidRPr="00244C66" w:rsidRDefault="00D76FBC" w:rsidP="00D76FBC">
            <w:pPr>
              <w:jc w:val="left"/>
              <w:rPr>
                <w:rFonts w:cstheme="minorHAnsi"/>
                <w:sz w:val="24"/>
                <w:szCs w:val="24"/>
              </w:rPr>
            </w:pPr>
            <w:r w:rsidRPr="00244C66">
              <w:rPr>
                <w:rFonts w:cstheme="minorHAnsi"/>
                <w:sz w:val="24"/>
                <w:szCs w:val="24"/>
              </w:rPr>
              <w:t>3. Wyzwania rozwoju Gminy Świątniki Górne, str. 20.</w:t>
            </w:r>
          </w:p>
          <w:p w14:paraId="472F43EF" w14:textId="77777777" w:rsidR="00D76FBC" w:rsidRPr="00244C66" w:rsidRDefault="00D76FBC" w:rsidP="00D76FBC">
            <w:pPr>
              <w:jc w:val="left"/>
              <w:rPr>
                <w:rFonts w:cstheme="minorHAnsi"/>
                <w:sz w:val="24"/>
                <w:szCs w:val="24"/>
              </w:rPr>
            </w:pPr>
            <w:r w:rsidRPr="00244C66">
              <w:rPr>
                <w:rFonts w:cstheme="minorHAnsi"/>
                <w:sz w:val="24"/>
                <w:szCs w:val="24"/>
              </w:rPr>
              <w:lastRenderedPageBreak/>
              <w:t>Konieczność uwzględnienia gospodarczego aspektu starzenia się społeczeństwa.</w:t>
            </w:r>
          </w:p>
          <w:p w14:paraId="2042363C" w14:textId="62002152" w:rsidR="00D76FBC" w:rsidRPr="00244C66" w:rsidRDefault="00D76FBC" w:rsidP="00D76FBC">
            <w:pPr>
              <w:jc w:val="left"/>
              <w:rPr>
                <w:rFonts w:cstheme="minorHAnsi"/>
                <w:sz w:val="24"/>
                <w:szCs w:val="24"/>
              </w:rPr>
            </w:pPr>
            <w:bookmarkStart w:id="1" w:name="_Hlk84845246"/>
            <w:r w:rsidRPr="00244C66">
              <w:rPr>
                <w:rFonts w:cstheme="minorHAnsi"/>
                <w:sz w:val="24"/>
                <w:szCs w:val="24"/>
              </w:rPr>
              <w:t>W dokumencie kilkukrotnie podkreślane są wyzwania społeczne związane ze starzeniem się społeczeństwa. Brak jest jednak odniesienia się do gospodarczego charakteru tego zjawiska, przejawiającego się m.in. w konieczności uwzględnienia i zaprojektowania działań gminnych związanych ze wsparciem osób 50+ na rynku pracy.</w:t>
            </w:r>
            <w:bookmarkEnd w:id="1"/>
          </w:p>
        </w:tc>
        <w:tc>
          <w:tcPr>
            <w:tcW w:w="1701" w:type="dxa"/>
          </w:tcPr>
          <w:p w14:paraId="27276408" w14:textId="03B5BB91" w:rsidR="00D76FBC" w:rsidRPr="00244C66" w:rsidRDefault="00D76FBC" w:rsidP="00D76FBC">
            <w:pPr>
              <w:jc w:val="left"/>
              <w:rPr>
                <w:rFonts w:cstheme="minorHAnsi"/>
                <w:sz w:val="24"/>
                <w:szCs w:val="24"/>
              </w:rPr>
            </w:pPr>
            <w:r w:rsidRPr="00244C66">
              <w:rPr>
                <w:rFonts w:cstheme="minorHAnsi"/>
                <w:sz w:val="24"/>
                <w:szCs w:val="24"/>
              </w:rPr>
              <w:lastRenderedPageBreak/>
              <w:t xml:space="preserve">Stowarzyszenie Metropolia </w:t>
            </w:r>
            <w:r w:rsidRPr="00244C66">
              <w:rPr>
                <w:rFonts w:cstheme="minorHAnsi"/>
                <w:sz w:val="24"/>
                <w:szCs w:val="24"/>
              </w:rPr>
              <w:lastRenderedPageBreak/>
              <w:t xml:space="preserve">Krakowska </w:t>
            </w:r>
          </w:p>
        </w:tc>
        <w:tc>
          <w:tcPr>
            <w:tcW w:w="2517" w:type="dxa"/>
          </w:tcPr>
          <w:p w14:paraId="368EC39F" w14:textId="77777777" w:rsidR="00D76FBC" w:rsidRPr="00244C66" w:rsidRDefault="00D76FBC" w:rsidP="00D76FBC">
            <w:pPr>
              <w:jc w:val="left"/>
              <w:rPr>
                <w:rFonts w:cstheme="minorHAnsi"/>
                <w:sz w:val="24"/>
                <w:szCs w:val="24"/>
              </w:rPr>
            </w:pPr>
            <w:r w:rsidRPr="00244C66">
              <w:rPr>
                <w:rFonts w:cstheme="minorHAnsi"/>
                <w:sz w:val="24"/>
                <w:szCs w:val="24"/>
              </w:rPr>
              <w:lastRenderedPageBreak/>
              <w:t xml:space="preserve">Uwagę przyjmuje się za zasadną. </w:t>
            </w:r>
          </w:p>
          <w:p w14:paraId="099BA079" w14:textId="77777777" w:rsidR="00CF28B8" w:rsidRPr="00244C66" w:rsidRDefault="001368B0" w:rsidP="00D76FBC">
            <w:pPr>
              <w:jc w:val="left"/>
              <w:rPr>
                <w:rFonts w:cstheme="minorHAnsi"/>
                <w:sz w:val="24"/>
                <w:szCs w:val="24"/>
              </w:rPr>
            </w:pPr>
            <w:r w:rsidRPr="00244C66">
              <w:rPr>
                <w:rFonts w:cstheme="minorHAnsi"/>
                <w:sz w:val="24"/>
                <w:szCs w:val="24"/>
              </w:rPr>
              <w:lastRenderedPageBreak/>
              <w:t xml:space="preserve">W treści opisującej wyzwania rozwoju wskazano na gospodarczy aspekt starzejącego się społeczeństwa. W części kierunkowej wskazano konieczność realizacji działań na rzecz wsparcia osób 50+ na rynku pracy. </w:t>
            </w:r>
          </w:p>
          <w:p w14:paraId="574B4B7F" w14:textId="77777777" w:rsidR="00CF28B8" w:rsidRPr="00244C66" w:rsidRDefault="00CF28B8" w:rsidP="00D76FBC">
            <w:pPr>
              <w:jc w:val="left"/>
              <w:rPr>
                <w:rFonts w:cstheme="minorHAnsi"/>
                <w:sz w:val="24"/>
                <w:szCs w:val="24"/>
              </w:rPr>
            </w:pPr>
          </w:p>
          <w:p w14:paraId="2D353E48" w14:textId="1A2B65B8" w:rsidR="00CF28B8" w:rsidRPr="00244C66" w:rsidRDefault="00CF28B8" w:rsidP="00D76FBC">
            <w:pPr>
              <w:jc w:val="left"/>
              <w:rPr>
                <w:rFonts w:cstheme="minorHAnsi"/>
                <w:sz w:val="24"/>
                <w:szCs w:val="24"/>
              </w:rPr>
            </w:pPr>
            <w:r w:rsidRPr="00244C66">
              <w:rPr>
                <w:rFonts w:cstheme="minorHAnsi"/>
                <w:sz w:val="24"/>
                <w:szCs w:val="24"/>
              </w:rPr>
              <w:t xml:space="preserve">Ponadto w Strategii </w:t>
            </w:r>
            <w:r w:rsidR="00F2605A" w:rsidRPr="00244C66">
              <w:rPr>
                <w:rFonts w:cstheme="minorHAnsi"/>
                <w:sz w:val="24"/>
                <w:szCs w:val="24"/>
              </w:rPr>
              <w:t>dodano</w:t>
            </w:r>
            <w:r w:rsidRPr="00244C66">
              <w:rPr>
                <w:rFonts w:cstheme="minorHAnsi"/>
                <w:sz w:val="24"/>
                <w:szCs w:val="24"/>
              </w:rPr>
              <w:t xml:space="preserve"> działanie „</w:t>
            </w:r>
            <w:r w:rsidR="00F2605A" w:rsidRPr="00244C66">
              <w:rPr>
                <w:rFonts w:cstheme="minorHAnsi"/>
                <w:sz w:val="24"/>
                <w:szCs w:val="24"/>
              </w:rPr>
              <w:t>2.5.5. Wsparcie aktywności ekonomicznej mieszkańców, w szczególności osób 50+”.</w:t>
            </w:r>
          </w:p>
        </w:tc>
      </w:tr>
      <w:tr w:rsidR="00D76FBC" w:rsidRPr="00244C66" w14:paraId="4DD8629F" w14:textId="77777777" w:rsidTr="00D76FBC">
        <w:tc>
          <w:tcPr>
            <w:tcW w:w="495" w:type="dxa"/>
          </w:tcPr>
          <w:p w14:paraId="00254023" w14:textId="77777777" w:rsidR="00D76FBC" w:rsidRPr="00244C66" w:rsidRDefault="00D76FBC" w:rsidP="00D76FBC">
            <w:pPr>
              <w:jc w:val="center"/>
              <w:rPr>
                <w:rFonts w:cstheme="minorHAnsi"/>
                <w:sz w:val="24"/>
                <w:szCs w:val="24"/>
              </w:rPr>
            </w:pPr>
            <w:r w:rsidRPr="00244C66">
              <w:rPr>
                <w:rFonts w:cstheme="minorHAnsi"/>
                <w:sz w:val="24"/>
                <w:szCs w:val="24"/>
              </w:rPr>
              <w:lastRenderedPageBreak/>
              <w:t>5.</w:t>
            </w:r>
          </w:p>
        </w:tc>
        <w:tc>
          <w:tcPr>
            <w:tcW w:w="4575" w:type="dxa"/>
          </w:tcPr>
          <w:p w14:paraId="6231F745" w14:textId="77777777" w:rsidR="00D76FBC" w:rsidRPr="00244C66" w:rsidRDefault="00D76FBC" w:rsidP="00D76FBC">
            <w:pPr>
              <w:jc w:val="left"/>
              <w:rPr>
                <w:rFonts w:cstheme="minorHAnsi"/>
                <w:sz w:val="24"/>
                <w:szCs w:val="24"/>
              </w:rPr>
            </w:pPr>
            <w:r w:rsidRPr="00244C66">
              <w:rPr>
                <w:rFonts w:cstheme="minorHAnsi"/>
                <w:sz w:val="24"/>
                <w:szCs w:val="24"/>
              </w:rPr>
              <w:t xml:space="preserve">4.Wizja oraz cele rozwoju Gminy Świątniki Górne, Rysunek 12, str. 27. Nazwa priorytetu 3.4. jest inna niż nazwa i opis na stronie 38. </w:t>
            </w:r>
          </w:p>
          <w:p w14:paraId="12A0C447" w14:textId="14546DED" w:rsidR="00D76FBC" w:rsidRPr="00244C66" w:rsidRDefault="00D76FBC" w:rsidP="00D76FBC">
            <w:pPr>
              <w:jc w:val="left"/>
              <w:rPr>
                <w:rFonts w:cstheme="minorHAnsi"/>
                <w:sz w:val="24"/>
                <w:szCs w:val="24"/>
              </w:rPr>
            </w:pPr>
            <w:r w:rsidRPr="00244C66">
              <w:rPr>
                <w:rFonts w:cstheme="minorHAnsi"/>
                <w:sz w:val="24"/>
                <w:szCs w:val="24"/>
              </w:rPr>
              <w:t>Na stronie 27 priorytet 3.4 nazywa się: Gmina sprzyjająca aktywności inwestycyjnej zgodnie z zasadą zrównoważonego rozwoju. Z kolei na stronie 38 priorytet nr 3.4 nazywa się Wzmocniony potencjał instytucjonalny gminy.</w:t>
            </w:r>
          </w:p>
        </w:tc>
        <w:tc>
          <w:tcPr>
            <w:tcW w:w="1701" w:type="dxa"/>
          </w:tcPr>
          <w:p w14:paraId="3C969EC0" w14:textId="5B6522C5" w:rsidR="00D76FBC" w:rsidRPr="00244C66" w:rsidRDefault="00D76FBC" w:rsidP="00D76FBC">
            <w:pPr>
              <w:jc w:val="left"/>
              <w:rPr>
                <w:rFonts w:cstheme="minorHAnsi"/>
                <w:sz w:val="24"/>
                <w:szCs w:val="24"/>
              </w:rPr>
            </w:pPr>
            <w:r w:rsidRPr="00244C66">
              <w:rPr>
                <w:rFonts w:cstheme="minorHAnsi"/>
                <w:sz w:val="24"/>
                <w:szCs w:val="24"/>
              </w:rPr>
              <w:t xml:space="preserve">Stowarzyszenie Metropolia Krakowska </w:t>
            </w:r>
          </w:p>
        </w:tc>
        <w:tc>
          <w:tcPr>
            <w:tcW w:w="2517" w:type="dxa"/>
          </w:tcPr>
          <w:p w14:paraId="7385703D" w14:textId="77777777" w:rsidR="008A7348" w:rsidRPr="00244C66" w:rsidRDefault="008A7348" w:rsidP="008A7348">
            <w:pPr>
              <w:jc w:val="left"/>
              <w:rPr>
                <w:rFonts w:cstheme="minorHAnsi"/>
                <w:sz w:val="24"/>
                <w:szCs w:val="24"/>
              </w:rPr>
            </w:pPr>
            <w:r w:rsidRPr="00244C66">
              <w:rPr>
                <w:rFonts w:cstheme="minorHAnsi"/>
                <w:sz w:val="24"/>
                <w:szCs w:val="24"/>
              </w:rPr>
              <w:t>Uwagę przyjmuje się za zasadną. Skorygowano błędną nazwę priorytetu na</w:t>
            </w:r>
          </w:p>
          <w:p w14:paraId="7955061C" w14:textId="612FBDBC" w:rsidR="00D76FBC" w:rsidRPr="00244C66" w:rsidRDefault="008A7348" w:rsidP="008A7348">
            <w:pPr>
              <w:jc w:val="left"/>
              <w:rPr>
                <w:rFonts w:cstheme="minorHAnsi"/>
                <w:sz w:val="24"/>
                <w:szCs w:val="24"/>
              </w:rPr>
            </w:pPr>
            <w:r w:rsidRPr="00244C66">
              <w:rPr>
                <w:rFonts w:cstheme="minorHAnsi"/>
                <w:sz w:val="24"/>
                <w:szCs w:val="24"/>
              </w:rPr>
              <w:t>Priorytet 3.4. Wzmocniony potencjał instytucjonalny gminy.</w:t>
            </w:r>
          </w:p>
        </w:tc>
      </w:tr>
      <w:tr w:rsidR="00D76FBC" w:rsidRPr="00244C66" w14:paraId="51F4A827" w14:textId="77777777" w:rsidTr="00D76FBC">
        <w:tc>
          <w:tcPr>
            <w:tcW w:w="495" w:type="dxa"/>
          </w:tcPr>
          <w:p w14:paraId="014C50BF" w14:textId="77777777" w:rsidR="00D76FBC" w:rsidRPr="00244C66" w:rsidRDefault="00D76FBC" w:rsidP="00D76FBC">
            <w:pPr>
              <w:jc w:val="center"/>
              <w:rPr>
                <w:rFonts w:cstheme="minorHAnsi"/>
                <w:sz w:val="24"/>
                <w:szCs w:val="24"/>
              </w:rPr>
            </w:pPr>
            <w:r w:rsidRPr="00244C66">
              <w:rPr>
                <w:rFonts w:cstheme="minorHAnsi"/>
                <w:sz w:val="24"/>
                <w:szCs w:val="24"/>
              </w:rPr>
              <w:t xml:space="preserve">6. </w:t>
            </w:r>
          </w:p>
        </w:tc>
        <w:tc>
          <w:tcPr>
            <w:tcW w:w="4575" w:type="dxa"/>
          </w:tcPr>
          <w:p w14:paraId="4EDD7108" w14:textId="77777777" w:rsidR="00D76FBC" w:rsidRPr="00244C66" w:rsidRDefault="00D76FBC" w:rsidP="00D76FBC">
            <w:pPr>
              <w:jc w:val="left"/>
              <w:rPr>
                <w:rFonts w:cstheme="minorHAnsi"/>
                <w:sz w:val="24"/>
                <w:szCs w:val="24"/>
              </w:rPr>
            </w:pPr>
            <w:r w:rsidRPr="00244C66">
              <w:rPr>
                <w:rFonts w:cstheme="minorHAnsi"/>
                <w:sz w:val="24"/>
                <w:szCs w:val="24"/>
              </w:rPr>
              <w:t>4. Wizja oraz cele rozwoju Gminy Świątniki Górne, Rysunek 12, str. 27.</w:t>
            </w:r>
          </w:p>
          <w:p w14:paraId="3A60DC6A" w14:textId="77777777" w:rsidR="00D76FBC" w:rsidRPr="00244C66" w:rsidRDefault="00D76FBC" w:rsidP="00D76FBC">
            <w:pPr>
              <w:jc w:val="left"/>
              <w:rPr>
                <w:rFonts w:cstheme="minorHAnsi"/>
                <w:sz w:val="24"/>
                <w:szCs w:val="24"/>
              </w:rPr>
            </w:pPr>
            <w:r w:rsidRPr="00244C66">
              <w:rPr>
                <w:rFonts w:cstheme="minorHAnsi"/>
                <w:sz w:val="24"/>
                <w:szCs w:val="24"/>
              </w:rPr>
              <w:t>Nazwa priorytetu 3.3. jest inna niż nazwa i opis na stronie 37.</w:t>
            </w:r>
          </w:p>
          <w:p w14:paraId="42E735CF" w14:textId="55171E69" w:rsidR="00D76FBC" w:rsidRPr="00244C66" w:rsidRDefault="00D76FBC" w:rsidP="00D76FBC">
            <w:pPr>
              <w:jc w:val="left"/>
              <w:rPr>
                <w:rFonts w:cstheme="minorHAnsi"/>
                <w:sz w:val="24"/>
                <w:szCs w:val="24"/>
              </w:rPr>
            </w:pPr>
            <w:r w:rsidRPr="00244C66">
              <w:rPr>
                <w:rFonts w:cstheme="minorHAnsi"/>
                <w:sz w:val="24"/>
                <w:szCs w:val="24"/>
              </w:rPr>
              <w:t>Na stronie 27 priorytet 3.3 nazywa się: Gmina wspierająca rozwój przedsiębiorczości. Z kolei na stronie 37 priorytet nr 3.3 nazywa się Aktywna promocja gospodarcza i wsparcie rozwoju przedsiębiorczości, w tym usług.</w:t>
            </w:r>
          </w:p>
        </w:tc>
        <w:tc>
          <w:tcPr>
            <w:tcW w:w="1701" w:type="dxa"/>
          </w:tcPr>
          <w:p w14:paraId="3B0828A8" w14:textId="0928E826" w:rsidR="00D76FBC" w:rsidRPr="00244C66" w:rsidRDefault="00D76FBC" w:rsidP="00D76FBC">
            <w:pPr>
              <w:jc w:val="left"/>
              <w:rPr>
                <w:rFonts w:cstheme="minorHAnsi"/>
                <w:sz w:val="24"/>
                <w:szCs w:val="24"/>
              </w:rPr>
            </w:pPr>
            <w:r w:rsidRPr="00244C66">
              <w:rPr>
                <w:rFonts w:cstheme="minorHAnsi"/>
                <w:sz w:val="24"/>
                <w:szCs w:val="24"/>
              </w:rPr>
              <w:t xml:space="preserve">Stowarzyszenie Metropolia Krakowska </w:t>
            </w:r>
          </w:p>
        </w:tc>
        <w:tc>
          <w:tcPr>
            <w:tcW w:w="2517" w:type="dxa"/>
          </w:tcPr>
          <w:p w14:paraId="430C826F" w14:textId="2CDB48D2" w:rsidR="008A7348" w:rsidRPr="00244C66" w:rsidRDefault="008A7348" w:rsidP="00D76FBC">
            <w:pPr>
              <w:jc w:val="left"/>
              <w:rPr>
                <w:rFonts w:cstheme="minorHAnsi"/>
                <w:sz w:val="24"/>
                <w:szCs w:val="24"/>
              </w:rPr>
            </w:pPr>
            <w:r w:rsidRPr="00244C66">
              <w:rPr>
                <w:rFonts w:cstheme="minorHAnsi"/>
                <w:sz w:val="24"/>
                <w:szCs w:val="24"/>
              </w:rPr>
              <w:t>Uwagę przyjmuje się za zasadną. Skorygowano błędną nazwę priorytetu na Priorytet 3.3. Gmina wspierająca rozwój przedsiębiorczości.</w:t>
            </w:r>
          </w:p>
        </w:tc>
      </w:tr>
      <w:tr w:rsidR="0004657D" w:rsidRPr="00244C66" w14:paraId="11C9A41B" w14:textId="77777777" w:rsidTr="00D76FBC">
        <w:tc>
          <w:tcPr>
            <w:tcW w:w="495" w:type="dxa"/>
          </w:tcPr>
          <w:p w14:paraId="31E3B31D" w14:textId="77777777" w:rsidR="0004657D" w:rsidRPr="00244C66" w:rsidRDefault="0004657D" w:rsidP="0004657D">
            <w:pPr>
              <w:jc w:val="center"/>
              <w:rPr>
                <w:rFonts w:cstheme="minorHAnsi"/>
                <w:sz w:val="24"/>
                <w:szCs w:val="24"/>
              </w:rPr>
            </w:pPr>
            <w:r w:rsidRPr="00244C66">
              <w:rPr>
                <w:rFonts w:cstheme="minorHAnsi"/>
                <w:sz w:val="24"/>
                <w:szCs w:val="24"/>
              </w:rPr>
              <w:t>7.</w:t>
            </w:r>
          </w:p>
        </w:tc>
        <w:tc>
          <w:tcPr>
            <w:tcW w:w="4575" w:type="dxa"/>
          </w:tcPr>
          <w:p w14:paraId="26D824E1" w14:textId="77777777" w:rsidR="0004657D" w:rsidRPr="00244C66" w:rsidRDefault="00D76FBC" w:rsidP="0004657D">
            <w:pPr>
              <w:jc w:val="left"/>
              <w:rPr>
                <w:rFonts w:cstheme="minorHAnsi"/>
                <w:sz w:val="24"/>
                <w:szCs w:val="24"/>
              </w:rPr>
            </w:pPr>
            <w:r w:rsidRPr="00244C66">
              <w:rPr>
                <w:rFonts w:cstheme="minorHAnsi"/>
                <w:sz w:val="24"/>
                <w:szCs w:val="24"/>
              </w:rPr>
              <w:t>5. Priorytety oraz kierunki działań rozwoju Gminy Świątniki Górne, str. 28</w:t>
            </w:r>
          </w:p>
          <w:p w14:paraId="4E99B711" w14:textId="75FDDF68" w:rsidR="00D76FBC" w:rsidRPr="00244C66" w:rsidRDefault="00D76FBC" w:rsidP="0004657D">
            <w:pPr>
              <w:jc w:val="left"/>
              <w:rPr>
                <w:rFonts w:cstheme="minorHAnsi"/>
                <w:sz w:val="24"/>
                <w:szCs w:val="24"/>
              </w:rPr>
            </w:pPr>
            <w:r w:rsidRPr="00244C66">
              <w:rPr>
                <w:rFonts w:cstheme="minorHAnsi"/>
                <w:sz w:val="24"/>
                <w:szCs w:val="24"/>
              </w:rPr>
              <w:t xml:space="preserve">Brak działań nakierowanych na zwiększenie </w:t>
            </w:r>
            <w:r w:rsidRPr="00244C66">
              <w:rPr>
                <w:rFonts w:cstheme="minorHAnsi"/>
                <w:sz w:val="24"/>
                <w:szCs w:val="24"/>
              </w:rPr>
              <w:lastRenderedPageBreak/>
              <w:t>podaży terenów inwestycyjnych w gminie.</w:t>
            </w:r>
          </w:p>
          <w:p w14:paraId="712A9AFB" w14:textId="06EC5F2B" w:rsidR="00D76FBC" w:rsidRPr="00244C66" w:rsidRDefault="00D76FBC" w:rsidP="0004657D">
            <w:pPr>
              <w:jc w:val="left"/>
              <w:rPr>
                <w:rFonts w:cstheme="minorHAnsi"/>
                <w:sz w:val="24"/>
                <w:szCs w:val="24"/>
              </w:rPr>
            </w:pPr>
            <w:r w:rsidRPr="00244C66">
              <w:rPr>
                <w:rFonts w:cstheme="minorHAnsi"/>
                <w:sz w:val="24"/>
                <w:szCs w:val="24"/>
              </w:rPr>
              <w:t>Pomimo iż w części diagnostycznej, zwraca się uwagę na brak terenów inwestycyjnych, brak jest kierunków działań, które miałyby odpowiedzieć na to wyzwanie. Jednocześnie w części dotyczącej modelu struktury funkcjonalno0przestrzennej wskazuje się na konieczność podjęcia działań związanych z rozwojem funkcji gospodarczej na terenie Gminy</w:t>
            </w:r>
            <w:r w:rsidR="00C16203" w:rsidRPr="00244C66">
              <w:rPr>
                <w:rFonts w:cstheme="minorHAnsi"/>
                <w:sz w:val="24"/>
                <w:szCs w:val="24"/>
              </w:rPr>
              <w:t>.</w:t>
            </w:r>
          </w:p>
        </w:tc>
        <w:tc>
          <w:tcPr>
            <w:tcW w:w="1701" w:type="dxa"/>
          </w:tcPr>
          <w:p w14:paraId="0A889263" w14:textId="68CD5579" w:rsidR="0004657D" w:rsidRPr="00244C66" w:rsidRDefault="00D76FBC" w:rsidP="0004657D">
            <w:pPr>
              <w:jc w:val="left"/>
              <w:rPr>
                <w:rFonts w:cstheme="minorHAnsi"/>
                <w:sz w:val="24"/>
                <w:szCs w:val="24"/>
              </w:rPr>
            </w:pPr>
            <w:r w:rsidRPr="00244C66">
              <w:rPr>
                <w:rFonts w:cstheme="minorHAnsi"/>
                <w:sz w:val="24"/>
                <w:szCs w:val="24"/>
              </w:rPr>
              <w:lastRenderedPageBreak/>
              <w:t>Stowarzyszenie Metropolia Krakowska</w:t>
            </w:r>
          </w:p>
        </w:tc>
        <w:tc>
          <w:tcPr>
            <w:tcW w:w="2517" w:type="dxa"/>
          </w:tcPr>
          <w:p w14:paraId="5D78A78C" w14:textId="77777777" w:rsidR="0004657D" w:rsidRPr="00244C66" w:rsidRDefault="00D76FBC" w:rsidP="0004657D">
            <w:pPr>
              <w:jc w:val="left"/>
              <w:rPr>
                <w:rFonts w:cstheme="minorHAnsi"/>
                <w:sz w:val="24"/>
                <w:szCs w:val="24"/>
              </w:rPr>
            </w:pPr>
            <w:r w:rsidRPr="00244C66">
              <w:rPr>
                <w:rFonts w:cstheme="minorHAnsi"/>
                <w:sz w:val="24"/>
                <w:szCs w:val="24"/>
              </w:rPr>
              <w:t>Uwagę uznaje się za niezasadną.</w:t>
            </w:r>
          </w:p>
          <w:p w14:paraId="3464958A" w14:textId="35BFD30C" w:rsidR="001368B0" w:rsidRPr="00244C66" w:rsidRDefault="001368B0" w:rsidP="0004657D">
            <w:pPr>
              <w:jc w:val="left"/>
              <w:rPr>
                <w:rFonts w:cstheme="minorHAnsi"/>
                <w:sz w:val="24"/>
                <w:szCs w:val="24"/>
              </w:rPr>
            </w:pPr>
            <w:r w:rsidRPr="00244C66">
              <w:rPr>
                <w:rFonts w:cstheme="minorHAnsi"/>
                <w:sz w:val="24"/>
                <w:szCs w:val="24"/>
              </w:rPr>
              <w:t xml:space="preserve">Gmina nie posiada </w:t>
            </w:r>
            <w:r w:rsidRPr="00244C66">
              <w:rPr>
                <w:rFonts w:cstheme="minorHAnsi"/>
                <w:sz w:val="24"/>
                <w:szCs w:val="24"/>
              </w:rPr>
              <w:lastRenderedPageBreak/>
              <w:t xml:space="preserve">rezerw gruntów na realizację proponowanych działań. Nieduża powierzchnia oraz aktualny stopień zainwestowania praktycznie ograniczają realność takich planów. W trakcie debat strategicznych stwierdzono, że gmina rozwijać się będzie w oparciu o funkcję mieszkaniową. </w:t>
            </w:r>
          </w:p>
        </w:tc>
      </w:tr>
      <w:tr w:rsidR="00D76FBC" w:rsidRPr="00244C66" w14:paraId="5924F8D4" w14:textId="77777777" w:rsidTr="00D76FBC">
        <w:tc>
          <w:tcPr>
            <w:tcW w:w="495" w:type="dxa"/>
          </w:tcPr>
          <w:p w14:paraId="7FA95288" w14:textId="77777777" w:rsidR="00D76FBC" w:rsidRPr="00244C66" w:rsidRDefault="00D76FBC" w:rsidP="00D76FBC">
            <w:pPr>
              <w:jc w:val="center"/>
              <w:rPr>
                <w:rFonts w:cstheme="minorHAnsi"/>
                <w:sz w:val="24"/>
                <w:szCs w:val="24"/>
              </w:rPr>
            </w:pPr>
            <w:r w:rsidRPr="00244C66">
              <w:rPr>
                <w:rFonts w:cstheme="minorHAnsi"/>
                <w:sz w:val="24"/>
                <w:szCs w:val="24"/>
              </w:rPr>
              <w:lastRenderedPageBreak/>
              <w:t>8.</w:t>
            </w:r>
          </w:p>
        </w:tc>
        <w:tc>
          <w:tcPr>
            <w:tcW w:w="4575" w:type="dxa"/>
          </w:tcPr>
          <w:p w14:paraId="522FDAF1" w14:textId="77777777" w:rsidR="00D76FBC" w:rsidRPr="00244C66" w:rsidRDefault="00D76FBC" w:rsidP="00D76FBC">
            <w:pPr>
              <w:jc w:val="left"/>
              <w:rPr>
                <w:rFonts w:cstheme="minorHAnsi"/>
                <w:sz w:val="24"/>
                <w:szCs w:val="24"/>
              </w:rPr>
            </w:pPr>
            <w:r w:rsidRPr="00244C66">
              <w:rPr>
                <w:rFonts w:cstheme="minorHAnsi"/>
                <w:sz w:val="24"/>
                <w:szCs w:val="24"/>
              </w:rPr>
              <w:t xml:space="preserve">5. Priorytety oraz kierunki działań rozwoju Gminy Świątniki Górne, str. 28. </w:t>
            </w:r>
          </w:p>
          <w:p w14:paraId="452A2F6F" w14:textId="77777777" w:rsidR="00D76FBC" w:rsidRPr="00244C66" w:rsidRDefault="00D76FBC" w:rsidP="00D76FBC">
            <w:pPr>
              <w:jc w:val="left"/>
              <w:rPr>
                <w:rFonts w:cstheme="minorHAnsi"/>
                <w:sz w:val="24"/>
                <w:szCs w:val="24"/>
              </w:rPr>
            </w:pPr>
            <w:r w:rsidRPr="00244C66">
              <w:rPr>
                <w:rFonts w:cstheme="minorHAnsi"/>
                <w:sz w:val="24"/>
                <w:szCs w:val="24"/>
              </w:rPr>
              <w:t>Brak działań nakierowanych na podnoszenie jakości i dostępności usług administracyjnych.</w:t>
            </w:r>
          </w:p>
          <w:p w14:paraId="0DBCC200" w14:textId="760FE98B" w:rsidR="00D76FBC" w:rsidRPr="00244C66" w:rsidRDefault="00D76FBC" w:rsidP="00D76FBC">
            <w:pPr>
              <w:jc w:val="left"/>
              <w:rPr>
                <w:rFonts w:cstheme="minorHAnsi"/>
                <w:sz w:val="24"/>
                <w:szCs w:val="24"/>
              </w:rPr>
            </w:pPr>
            <w:r w:rsidRPr="00244C66">
              <w:rPr>
                <w:rFonts w:cstheme="minorHAnsi"/>
                <w:sz w:val="24"/>
                <w:szCs w:val="24"/>
              </w:rPr>
              <w:t>W kierunkach działaniach i celach Strategii pominięto niezwykle istotny obszar jakim jest rozwój otwartej, nowoczesnej administracji lokalnej. W przyszłości, niezwykle istotne będzie rozwijanie e-usług publicznych oraz prowadzenie działań nastawionych na cyfryzację pracy urzędów gminnych, w tym w oparciu o dostępne i otwarte dane. Dlatego, sugeruje się włączenie do Celu 2. Gmina dla mieszkańców, priorytetu i działań odnoszących się do tego obszaru.</w:t>
            </w:r>
          </w:p>
        </w:tc>
        <w:tc>
          <w:tcPr>
            <w:tcW w:w="1701" w:type="dxa"/>
          </w:tcPr>
          <w:p w14:paraId="1D6B429C" w14:textId="3654A11F" w:rsidR="00D76FBC" w:rsidRPr="00244C66" w:rsidRDefault="00D76FBC" w:rsidP="00D76FBC">
            <w:pPr>
              <w:jc w:val="left"/>
              <w:rPr>
                <w:rFonts w:cstheme="minorHAnsi"/>
                <w:sz w:val="24"/>
                <w:szCs w:val="24"/>
              </w:rPr>
            </w:pPr>
            <w:r w:rsidRPr="00244C66">
              <w:rPr>
                <w:rFonts w:cstheme="minorHAnsi"/>
                <w:sz w:val="24"/>
                <w:szCs w:val="24"/>
              </w:rPr>
              <w:t xml:space="preserve">Stowarzyszenie Metropolia Krakowska </w:t>
            </w:r>
          </w:p>
        </w:tc>
        <w:tc>
          <w:tcPr>
            <w:tcW w:w="2517" w:type="dxa"/>
          </w:tcPr>
          <w:p w14:paraId="50659B17" w14:textId="47282C09" w:rsidR="008A7348" w:rsidRPr="00244C66" w:rsidRDefault="008A7348" w:rsidP="008A7348">
            <w:pPr>
              <w:jc w:val="left"/>
              <w:rPr>
                <w:rFonts w:cstheme="minorHAnsi"/>
                <w:sz w:val="24"/>
                <w:szCs w:val="24"/>
              </w:rPr>
            </w:pPr>
            <w:r w:rsidRPr="00244C66">
              <w:rPr>
                <w:rFonts w:cstheme="minorHAnsi"/>
                <w:sz w:val="24"/>
                <w:szCs w:val="24"/>
              </w:rPr>
              <w:t xml:space="preserve">Uwagę uznaje się </w:t>
            </w:r>
            <w:r w:rsidR="00C16203" w:rsidRPr="00244C66">
              <w:rPr>
                <w:rFonts w:cstheme="minorHAnsi"/>
                <w:sz w:val="24"/>
                <w:szCs w:val="24"/>
              </w:rPr>
              <w:t>częściowo</w:t>
            </w:r>
            <w:r w:rsidRPr="00244C66">
              <w:rPr>
                <w:rFonts w:cstheme="minorHAnsi"/>
                <w:sz w:val="24"/>
                <w:szCs w:val="24"/>
              </w:rPr>
              <w:t xml:space="preserve"> zasadną.</w:t>
            </w:r>
          </w:p>
          <w:p w14:paraId="37D54561" w14:textId="2CB1F4C9" w:rsidR="00C16203" w:rsidRPr="00244C66" w:rsidRDefault="008A7348" w:rsidP="00C16203">
            <w:pPr>
              <w:jc w:val="left"/>
              <w:rPr>
                <w:rFonts w:cstheme="minorHAnsi"/>
                <w:sz w:val="24"/>
                <w:szCs w:val="24"/>
              </w:rPr>
            </w:pPr>
            <w:r w:rsidRPr="00244C66">
              <w:rPr>
                <w:rFonts w:cstheme="minorHAnsi"/>
                <w:sz w:val="24"/>
                <w:szCs w:val="24"/>
              </w:rPr>
              <w:t>Te działania ujęte zostały w Priorytecie 3.4. Wzmocniony potencjał instytucjonalny gminy</w:t>
            </w:r>
            <w:r w:rsidR="00C16203" w:rsidRPr="00244C66">
              <w:rPr>
                <w:rFonts w:cstheme="minorHAnsi"/>
                <w:sz w:val="24"/>
                <w:szCs w:val="24"/>
              </w:rPr>
              <w:t xml:space="preserve">. Jednocześnie rozwinięto treść kierunku działania „3.4.1. Wzmocnienie technologiczne oraz informatyczne administracji samorządowej, sprzyjające rozwojowi </w:t>
            </w:r>
          </w:p>
          <w:p w14:paraId="36E70E86" w14:textId="7E10074C" w:rsidR="00D76FBC" w:rsidRPr="00244C66" w:rsidRDefault="00C16203" w:rsidP="00C16203">
            <w:pPr>
              <w:jc w:val="left"/>
              <w:rPr>
                <w:rFonts w:cstheme="minorHAnsi"/>
                <w:sz w:val="24"/>
                <w:szCs w:val="24"/>
              </w:rPr>
            </w:pPr>
            <w:r w:rsidRPr="00244C66">
              <w:rPr>
                <w:rFonts w:cstheme="minorHAnsi"/>
                <w:sz w:val="24"/>
                <w:szCs w:val="24"/>
              </w:rPr>
              <w:t>e-usług oraz rozwiązań inteligentnych w oparciu o otwarte dane</w:t>
            </w:r>
            <w:r w:rsidR="005972DD" w:rsidRPr="00244C66">
              <w:rPr>
                <w:rFonts w:cstheme="minorHAnsi"/>
                <w:sz w:val="24"/>
                <w:szCs w:val="24"/>
              </w:rPr>
              <w:t xml:space="preserve"> i dostęp do informacji publicznej</w:t>
            </w:r>
            <w:r w:rsidRPr="00244C66">
              <w:rPr>
                <w:rFonts w:cstheme="minorHAnsi"/>
                <w:sz w:val="24"/>
                <w:szCs w:val="24"/>
              </w:rPr>
              <w:t>.”</w:t>
            </w:r>
          </w:p>
        </w:tc>
      </w:tr>
      <w:tr w:rsidR="0004657D" w:rsidRPr="00244C66" w14:paraId="61173616" w14:textId="77777777" w:rsidTr="00D76FBC">
        <w:tc>
          <w:tcPr>
            <w:tcW w:w="495" w:type="dxa"/>
          </w:tcPr>
          <w:p w14:paraId="7A6AC829" w14:textId="77777777" w:rsidR="0004657D" w:rsidRPr="00244C66" w:rsidRDefault="0004657D" w:rsidP="0004657D">
            <w:pPr>
              <w:jc w:val="center"/>
              <w:rPr>
                <w:rFonts w:cstheme="minorHAnsi"/>
                <w:sz w:val="24"/>
                <w:szCs w:val="24"/>
              </w:rPr>
            </w:pPr>
            <w:r w:rsidRPr="00244C66">
              <w:rPr>
                <w:rFonts w:cstheme="minorHAnsi"/>
                <w:sz w:val="24"/>
                <w:szCs w:val="24"/>
              </w:rPr>
              <w:t xml:space="preserve">9. </w:t>
            </w:r>
          </w:p>
        </w:tc>
        <w:tc>
          <w:tcPr>
            <w:tcW w:w="4575" w:type="dxa"/>
          </w:tcPr>
          <w:p w14:paraId="3E07AF94" w14:textId="77777777" w:rsidR="0004657D" w:rsidRPr="00244C66" w:rsidRDefault="00287E48" w:rsidP="0004657D">
            <w:pPr>
              <w:jc w:val="left"/>
              <w:rPr>
                <w:rFonts w:cstheme="minorHAnsi"/>
                <w:sz w:val="24"/>
                <w:szCs w:val="24"/>
              </w:rPr>
            </w:pPr>
            <w:r w:rsidRPr="00244C66">
              <w:rPr>
                <w:rFonts w:cstheme="minorHAnsi"/>
                <w:sz w:val="24"/>
                <w:szCs w:val="24"/>
              </w:rPr>
              <w:t>Str. 42, tabela nr 16, Priorytet 2.3 Rozwinięte strefy aktywności oraz oferta sportu.</w:t>
            </w:r>
          </w:p>
          <w:p w14:paraId="6904BEBE" w14:textId="77777777" w:rsidR="00287E48" w:rsidRPr="00244C66" w:rsidRDefault="00287E48" w:rsidP="00287E48">
            <w:pPr>
              <w:jc w:val="left"/>
              <w:rPr>
                <w:rFonts w:cstheme="minorHAnsi"/>
                <w:sz w:val="24"/>
                <w:szCs w:val="24"/>
              </w:rPr>
            </w:pPr>
            <w:r w:rsidRPr="00244C66">
              <w:rPr>
                <w:rFonts w:cstheme="minorHAnsi"/>
                <w:sz w:val="24"/>
                <w:szCs w:val="24"/>
              </w:rPr>
              <w:t>Rozważenie możliwości rozszerzenia / dopisania dodatkowego kierunku działania:</w:t>
            </w:r>
          </w:p>
          <w:p w14:paraId="3DC44700" w14:textId="77777777" w:rsidR="00287E48" w:rsidRPr="00244C66" w:rsidRDefault="00287E48" w:rsidP="00287E48">
            <w:pPr>
              <w:jc w:val="left"/>
              <w:rPr>
                <w:rFonts w:cstheme="minorHAnsi"/>
                <w:sz w:val="24"/>
                <w:szCs w:val="24"/>
              </w:rPr>
            </w:pPr>
            <w:r w:rsidRPr="00244C66">
              <w:rPr>
                <w:rFonts w:cstheme="minorHAnsi"/>
                <w:sz w:val="24"/>
                <w:szCs w:val="24"/>
              </w:rPr>
              <w:t xml:space="preserve">- upowszechnianie sportu wśród dzieci i młodzieży – współpraca ze sportowymi </w:t>
            </w:r>
            <w:r w:rsidRPr="00244C66">
              <w:rPr>
                <w:rFonts w:cstheme="minorHAnsi"/>
                <w:sz w:val="24"/>
                <w:szCs w:val="24"/>
              </w:rPr>
              <w:lastRenderedPageBreak/>
              <w:t>placówkami oświatowo – wychowawczymi z innych Gmin w celu pełnej realizacji bezpłatnych zajęć sportowo – rekreacyjnych dla dzieci i młodzieży – wymiana doświadczeń, organizacja wspólnych projektów, wymiana uczniów.</w:t>
            </w:r>
          </w:p>
          <w:p w14:paraId="3B515491" w14:textId="264AE6DE" w:rsidR="00287E48" w:rsidRPr="00244C66" w:rsidRDefault="00287E48" w:rsidP="00287E48">
            <w:pPr>
              <w:jc w:val="left"/>
              <w:rPr>
                <w:rFonts w:cstheme="minorHAnsi"/>
                <w:sz w:val="24"/>
                <w:szCs w:val="24"/>
              </w:rPr>
            </w:pPr>
            <w:r w:rsidRPr="00244C66">
              <w:rPr>
                <w:rFonts w:cstheme="minorHAnsi"/>
                <w:sz w:val="24"/>
                <w:szCs w:val="24"/>
              </w:rPr>
              <w:t>Nawiązanie współpracy z ośrodkami z innych Gmin ościennych pozwoli na wymianę doświadczeń, organizację wspólnych ciekawych projektów, w celu przygotowania coraz to ciekawszej oferty sportowej dla dzieci i młodzieży.</w:t>
            </w:r>
          </w:p>
        </w:tc>
        <w:tc>
          <w:tcPr>
            <w:tcW w:w="1701" w:type="dxa"/>
          </w:tcPr>
          <w:p w14:paraId="3A260B1A" w14:textId="6E8C5C28" w:rsidR="0004657D" w:rsidRPr="00244C66" w:rsidRDefault="00287E48" w:rsidP="0004657D">
            <w:pPr>
              <w:jc w:val="left"/>
              <w:rPr>
                <w:rFonts w:cstheme="minorHAnsi"/>
                <w:sz w:val="24"/>
                <w:szCs w:val="24"/>
              </w:rPr>
            </w:pPr>
            <w:r w:rsidRPr="00244C66">
              <w:rPr>
                <w:rFonts w:cstheme="minorHAnsi"/>
                <w:sz w:val="24"/>
                <w:szCs w:val="24"/>
              </w:rPr>
              <w:lastRenderedPageBreak/>
              <w:t xml:space="preserve">Wydział Strategii, Planowania i Monitorowania Inwestycji w im. Urzędu Miasta </w:t>
            </w:r>
            <w:r w:rsidRPr="00244C66">
              <w:rPr>
                <w:rFonts w:cstheme="minorHAnsi"/>
                <w:sz w:val="24"/>
                <w:szCs w:val="24"/>
              </w:rPr>
              <w:lastRenderedPageBreak/>
              <w:t>Krakowa</w:t>
            </w:r>
          </w:p>
        </w:tc>
        <w:tc>
          <w:tcPr>
            <w:tcW w:w="2517" w:type="dxa"/>
          </w:tcPr>
          <w:p w14:paraId="6084C8C6" w14:textId="108D248A" w:rsidR="0004657D" w:rsidRPr="00244C66" w:rsidRDefault="00287E48" w:rsidP="0004657D">
            <w:pPr>
              <w:jc w:val="left"/>
              <w:rPr>
                <w:rFonts w:cstheme="minorHAnsi"/>
                <w:sz w:val="24"/>
                <w:szCs w:val="24"/>
              </w:rPr>
            </w:pPr>
            <w:r w:rsidRPr="00244C66">
              <w:rPr>
                <w:rFonts w:cstheme="minorHAnsi"/>
                <w:sz w:val="24"/>
                <w:szCs w:val="24"/>
              </w:rPr>
              <w:lastRenderedPageBreak/>
              <w:t>Uwagę przyjmuje się za zasadną.</w:t>
            </w:r>
            <w:r w:rsidR="00914FD2" w:rsidRPr="00244C66">
              <w:rPr>
                <w:rFonts w:cstheme="minorHAnsi"/>
                <w:sz w:val="24"/>
                <w:szCs w:val="24"/>
              </w:rPr>
              <w:t xml:space="preserve"> Dodano działanie „2.3.3. Upowszechnianie sportu wśród dzieci i młodzieży – współpraca ze </w:t>
            </w:r>
            <w:r w:rsidR="00914FD2" w:rsidRPr="00244C66">
              <w:rPr>
                <w:rFonts w:cstheme="minorHAnsi"/>
                <w:sz w:val="24"/>
                <w:szCs w:val="24"/>
              </w:rPr>
              <w:lastRenderedPageBreak/>
              <w:t xml:space="preserve">sportowymi placówkami oświatowo – wychowawczymi z innych Gmin w celu pełnej realizacji bezpłatnych zajęć sportowo – rekreacyjnych dla dzieci i młodzieży – wymiana doświadczeń, organizacja wspólnych projektów, wymiana uczniów. </w:t>
            </w:r>
          </w:p>
        </w:tc>
      </w:tr>
      <w:tr w:rsidR="00287E48" w:rsidRPr="00244C66" w14:paraId="768F043B" w14:textId="77777777" w:rsidTr="00D76FBC">
        <w:tc>
          <w:tcPr>
            <w:tcW w:w="495" w:type="dxa"/>
          </w:tcPr>
          <w:p w14:paraId="5282C1E2" w14:textId="77777777" w:rsidR="00287E48" w:rsidRPr="00244C66" w:rsidRDefault="00287E48" w:rsidP="00287E48">
            <w:pPr>
              <w:jc w:val="center"/>
              <w:rPr>
                <w:rFonts w:cstheme="minorHAnsi"/>
                <w:sz w:val="24"/>
                <w:szCs w:val="24"/>
              </w:rPr>
            </w:pPr>
            <w:r w:rsidRPr="00244C66">
              <w:rPr>
                <w:rFonts w:cstheme="minorHAnsi"/>
                <w:sz w:val="24"/>
                <w:szCs w:val="24"/>
              </w:rPr>
              <w:lastRenderedPageBreak/>
              <w:t xml:space="preserve">10. </w:t>
            </w:r>
          </w:p>
        </w:tc>
        <w:tc>
          <w:tcPr>
            <w:tcW w:w="4575" w:type="dxa"/>
          </w:tcPr>
          <w:p w14:paraId="3F69F604" w14:textId="77777777" w:rsidR="00287E48" w:rsidRPr="00244C66" w:rsidRDefault="00287E48" w:rsidP="00287E48">
            <w:pPr>
              <w:jc w:val="left"/>
              <w:rPr>
                <w:rFonts w:cstheme="minorHAnsi"/>
                <w:sz w:val="24"/>
                <w:szCs w:val="24"/>
              </w:rPr>
            </w:pPr>
            <w:r w:rsidRPr="00244C66">
              <w:rPr>
                <w:rFonts w:cstheme="minorHAnsi"/>
                <w:sz w:val="24"/>
                <w:szCs w:val="24"/>
              </w:rPr>
              <w:t>Uwagi Ogólne.</w:t>
            </w:r>
          </w:p>
          <w:p w14:paraId="2A885191" w14:textId="2741BACF" w:rsidR="00287E48" w:rsidRPr="00244C66" w:rsidRDefault="00287E48" w:rsidP="00287E48">
            <w:pPr>
              <w:jc w:val="left"/>
              <w:rPr>
                <w:rFonts w:cstheme="minorHAnsi"/>
                <w:sz w:val="24"/>
                <w:szCs w:val="24"/>
              </w:rPr>
            </w:pPr>
            <w:r w:rsidRPr="00244C66">
              <w:rPr>
                <w:rFonts w:cstheme="minorHAnsi"/>
                <w:sz w:val="24"/>
                <w:szCs w:val="24"/>
              </w:rPr>
              <w:t>W odniesieniu do zdiagnozowanego w obu Gminach wzrostu populacji osób starszych, związanego z ogólnopolskim trendem starzenia się społeczeństwa, uwzględnionym również w dokumentach strategicznych Gminy Miejskiej Kraków, oraz wskazaną, w konsultowanych materiałach, koniecznością wzmocnienia systemu wsparcia dla osób starszych i ich rodzin proponuje się uwzględnienie w przedstawionych dokumentach rozwoju usług opiekuńczych i dziennych form opieki, oraz innych form wspierania osób starszych zagrożonych wykluczeniem społecznym, realizowanych we współpracy międzygminnej. Proponowana zmiana uwzględnia konieczność współdziałania poszczególnych gmin, w zakresie wspólnego rozwiązywania istniejących problemów społecznych, zwłaszcza współpracy gmin sąsiadujących ze sobą</w:t>
            </w:r>
            <w:r w:rsidR="008E3EBD" w:rsidRPr="00244C66">
              <w:rPr>
                <w:rFonts w:cstheme="minorHAnsi"/>
                <w:sz w:val="24"/>
                <w:szCs w:val="24"/>
              </w:rPr>
              <w:t>.</w:t>
            </w:r>
          </w:p>
        </w:tc>
        <w:tc>
          <w:tcPr>
            <w:tcW w:w="1701" w:type="dxa"/>
          </w:tcPr>
          <w:p w14:paraId="4AADE2DE" w14:textId="06623729" w:rsidR="00287E48" w:rsidRPr="00244C66" w:rsidRDefault="00287E48" w:rsidP="00287E48">
            <w:pPr>
              <w:jc w:val="left"/>
              <w:rPr>
                <w:rFonts w:cstheme="minorHAnsi"/>
                <w:sz w:val="24"/>
                <w:szCs w:val="24"/>
              </w:rPr>
            </w:pPr>
            <w:r w:rsidRPr="00244C66">
              <w:rPr>
                <w:rFonts w:cstheme="minorHAnsi"/>
                <w:sz w:val="24"/>
                <w:szCs w:val="24"/>
              </w:rPr>
              <w:t>Wydział Strategii, Planowania i Monitorowania Inwestycji w im. Urzędu Miasta Krakowa</w:t>
            </w:r>
          </w:p>
        </w:tc>
        <w:tc>
          <w:tcPr>
            <w:tcW w:w="2517" w:type="dxa"/>
          </w:tcPr>
          <w:p w14:paraId="67A41334" w14:textId="32B3F535" w:rsidR="008E3EBD" w:rsidRPr="00244C66" w:rsidRDefault="00287E48" w:rsidP="008E3EBD">
            <w:pPr>
              <w:jc w:val="left"/>
              <w:rPr>
                <w:rFonts w:cstheme="minorHAnsi"/>
                <w:sz w:val="24"/>
                <w:szCs w:val="24"/>
              </w:rPr>
            </w:pPr>
            <w:r w:rsidRPr="00244C66">
              <w:rPr>
                <w:rFonts w:cstheme="minorHAnsi"/>
                <w:sz w:val="24"/>
                <w:szCs w:val="24"/>
              </w:rPr>
              <w:t>Uwagę przyjmuje się za zasadną.</w:t>
            </w:r>
            <w:r w:rsidR="008E3EBD" w:rsidRPr="00244C66">
              <w:rPr>
                <w:rFonts w:cstheme="minorHAnsi"/>
                <w:sz w:val="24"/>
                <w:szCs w:val="24"/>
              </w:rPr>
              <w:t xml:space="preserve"> Tym samym rozwinięto treść działania „2.5.1. Rozwój infrastruktury i usług opieki i pomocy społecznej, </w:t>
            </w:r>
          </w:p>
          <w:p w14:paraId="28274556" w14:textId="1C819912" w:rsidR="00287E48" w:rsidRPr="00244C66" w:rsidRDefault="008E3EBD" w:rsidP="008E3EBD">
            <w:pPr>
              <w:jc w:val="left"/>
              <w:rPr>
                <w:rFonts w:cstheme="minorHAnsi"/>
                <w:sz w:val="24"/>
                <w:szCs w:val="24"/>
              </w:rPr>
            </w:pPr>
            <w:r w:rsidRPr="00244C66">
              <w:rPr>
                <w:rFonts w:cstheme="minorHAnsi"/>
                <w:sz w:val="24"/>
                <w:szCs w:val="24"/>
              </w:rPr>
              <w:t>w tym rozwój usług opiekuńczych, wzmocnienie pracy socjalnej skierowanej do mieszkańców, w tym seniorów, w tym realizowanych we współpracy we współpracy międzygminnej, na bazie wspólnych zasobów i rozwiązań.</w:t>
            </w:r>
          </w:p>
          <w:p w14:paraId="0BE54B86" w14:textId="26F1DFE6" w:rsidR="00902381" w:rsidRPr="00244C66" w:rsidRDefault="00902381" w:rsidP="00287E48">
            <w:pPr>
              <w:jc w:val="left"/>
              <w:rPr>
                <w:rFonts w:cstheme="minorHAnsi"/>
                <w:sz w:val="24"/>
                <w:szCs w:val="24"/>
              </w:rPr>
            </w:pPr>
          </w:p>
        </w:tc>
      </w:tr>
      <w:tr w:rsidR="00BB4442" w:rsidRPr="00244C66" w14:paraId="24DDA904" w14:textId="77777777" w:rsidTr="00D76FBC">
        <w:tc>
          <w:tcPr>
            <w:tcW w:w="495" w:type="dxa"/>
          </w:tcPr>
          <w:p w14:paraId="29EA19D0" w14:textId="08609DE7" w:rsidR="00BB4442" w:rsidRPr="00244C66" w:rsidRDefault="00BB4442" w:rsidP="00BB4442">
            <w:pPr>
              <w:jc w:val="center"/>
              <w:rPr>
                <w:rFonts w:cstheme="minorHAnsi"/>
                <w:sz w:val="24"/>
                <w:szCs w:val="24"/>
              </w:rPr>
            </w:pPr>
            <w:r w:rsidRPr="00244C66">
              <w:rPr>
                <w:rFonts w:cstheme="minorHAnsi"/>
                <w:sz w:val="24"/>
                <w:szCs w:val="24"/>
              </w:rPr>
              <w:t>11.</w:t>
            </w:r>
          </w:p>
        </w:tc>
        <w:tc>
          <w:tcPr>
            <w:tcW w:w="4575" w:type="dxa"/>
          </w:tcPr>
          <w:p w14:paraId="3510AB45" w14:textId="77777777" w:rsidR="00BB4442" w:rsidRPr="00244C66" w:rsidRDefault="00BB4442" w:rsidP="00BB4442">
            <w:pPr>
              <w:jc w:val="left"/>
              <w:rPr>
                <w:rFonts w:cstheme="minorHAnsi"/>
                <w:sz w:val="24"/>
                <w:szCs w:val="24"/>
              </w:rPr>
            </w:pPr>
            <w:r w:rsidRPr="00244C66">
              <w:rPr>
                <w:rFonts w:cstheme="minorHAnsi"/>
                <w:sz w:val="24"/>
                <w:szCs w:val="24"/>
              </w:rPr>
              <w:t>6.2. Ustalenia i rekomendacje w zakresie kształtowania i prowadzenia polityki przestrzennej w gminie.</w:t>
            </w:r>
          </w:p>
          <w:p w14:paraId="79FC1C1B" w14:textId="77777777" w:rsidR="00BB4442" w:rsidRPr="00244C66" w:rsidRDefault="00BB4442" w:rsidP="00BB4442">
            <w:pPr>
              <w:jc w:val="left"/>
              <w:rPr>
                <w:rFonts w:cstheme="minorHAnsi"/>
                <w:sz w:val="24"/>
                <w:szCs w:val="24"/>
              </w:rPr>
            </w:pPr>
            <w:r w:rsidRPr="00244C66">
              <w:rPr>
                <w:rFonts w:cstheme="minorHAnsi"/>
                <w:sz w:val="24"/>
                <w:szCs w:val="24"/>
              </w:rPr>
              <w:t xml:space="preserve">Tereny lasów (za wyjątkiem zabudowy związanej z obsługą gospodarstw leśnych na obszarach leśnych zgodnie z właściwymi planami urządzenia lasów). </w:t>
            </w:r>
          </w:p>
          <w:p w14:paraId="415FF6F6" w14:textId="1383CC98" w:rsidR="00BB4442" w:rsidRPr="00244C66" w:rsidRDefault="00BB4442" w:rsidP="00BB4442">
            <w:pPr>
              <w:jc w:val="left"/>
              <w:rPr>
                <w:rFonts w:cstheme="minorHAnsi"/>
                <w:sz w:val="24"/>
                <w:szCs w:val="24"/>
              </w:rPr>
            </w:pPr>
            <w:r w:rsidRPr="00244C66">
              <w:rPr>
                <w:rFonts w:cstheme="minorHAnsi"/>
                <w:sz w:val="24"/>
                <w:szCs w:val="24"/>
              </w:rPr>
              <w:t xml:space="preserve">Tereny położone w odległości mniejszej niż </w:t>
            </w:r>
            <w:r w:rsidRPr="00244C66">
              <w:rPr>
                <w:rFonts w:cstheme="minorHAnsi"/>
                <w:sz w:val="24"/>
                <w:szCs w:val="24"/>
              </w:rPr>
              <w:lastRenderedPageBreak/>
              <w:t xml:space="preserve">12 m od ściany lasu. Tereny położone w odległości mniejszej niż 15 m od wód powierzchniowych. </w:t>
            </w:r>
          </w:p>
          <w:p w14:paraId="104F100E" w14:textId="77777777" w:rsidR="00BB4442" w:rsidRPr="00244C66" w:rsidRDefault="00BB4442" w:rsidP="00BB4442">
            <w:pPr>
              <w:jc w:val="left"/>
              <w:rPr>
                <w:rFonts w:cstheme="minorHAnsi"/>
                <w:sz w:val="24"/>
                <w:szCs w:val="24"/>
              </w:rPr>
            </w:pPr>
            <w:r w:rsidRPr="00244C66">
              <w:rPr>
                <w:rFonts w:cstheme="minorHAnsi"/>
                <w:sz w:val="24"/>
                <w:szCs w:val="24"/>
              </w:rPr>
              <w:t>Tereny zagrożone powodzią.</w:t>
            </w:r>
          </w:p>
          <w:p w14:paraId="2FED24EA" w14:textId="77777777" w:rsidR="00BB4442" w:rsidRPr="00244C66" w:rsidRDefault="00BB4442" w:rsidP="00BB4442">
            <w:pPr>
              <w:jc w:val="left"/>
              <w:rPr>
                <w:rFonts w:cstheme="minorHAnsi"/>
                <w:sz w:val="24"/>
                <w:szCs w:val="24"/>
              </w:rPr>
            </w:pPr>
            <w:r w:rsidRPr="00244C66">
              <w:rPr>
                <w:rFonts w:cstheme="minorHAnsi"/>
                <w:sz w:val="24"/>
                <w:szCs w:val="24"/>
              </w:rPr>
              <w:t xml:space="preserve">Ustalenia te mogą w ocenie tut. Wydziału okazać się niewystarczające dla ograniczenia rozpraszania zabudowy i zapewnienia ładu przestrzennego. Należałoby rozważyć wyłączenie spod zabudowy terenów dla strefy położonej w sąsiedztwie wód powierzchniowych bądź terenów cennych przyrodniczo. Takie działania byłyby odpowiednie zważywszy na coraz to częstsze intensywne deszcze, które skutkują zagrożeniami powodziowymi oraz podtopieniami. Przykładem takiego przeciwdziałania jest zagospodarowanie terenów doliny rzeki Wilgi gdzie odległość między zabudową a korytem rzecznym wynosi od kilkudziesięciu do kilkuset metrów, co znajduje swoje odzwierciedlenie </w:t>
            </w:r>
          </w:p>
          <w:p w14:paraId="14ED1502" w14:textId="69283806" w:rsidR="00BB4442" w:rsidRPr="00244C66" w:rsidRDefault="00BB4442" w:rsidP="00BB4442">
            <w:pPr>
              <w:jc w:val="left"/>
              <w:rPr>
                <w:rFonts w:cstheme="minorHAnsi"/>
                <w:sz w:val="24"/>
                <w:szCs w:val="24"/>
              </w:rPr>
            </w:pPr>
            <w:r w:rsidRPr="00244C66">
              <w:rPr>
                <w:rFonts w:cstheme="minorHAnsi"/>
                <w:sz w:val="24"/>
                <w:szCs w:val="24"/>
              </w:rPr>
              <w:t xml:space="preserve">w ustaleniach planistycznych dla terenów położonych w granicach Gminy Miejskiej Kraków.  </w:t>
            </w:r>
          </w:p>
        </w:tc>
        <w:tc>
          <w:tcPr>
            <w:tcW w:w="1701" w:type="dxa"/>
          </w:tcPr>
          <w:p w14:paraId="664BBC66" w14:textId="77147028" w:rsidR="00BB4442" w:rsidRPr="00244C66" w:rsidRDefault="00BB4442" w:rsidP="00BB4442">
            <w:pPr>
              <w:jc w:val="left"/>
              <w:rPr>
                <w:rFonts w:cstheme="minorHAnsi"/>
                <w:sz w:val="24"/>
                <w:szCs w:val="24"/>
              </w:rPr>
            </w:pPr>
            <w:r w:rsidRPr="00244C66">
              <w:rPr>
                <w:rFonts w:cstheme="minorHAnsi"/>
                <w:sz w:val="24"/>
                <w:szCs w:val="24"/>
              </w:rPr>
              <w:lastRenderedPageBreak/>
              <w:t>Wydział Strategii, Planowania i Monitorowania Inwestycji w im. Urzędu Miasta Krakowa</w:t>
            </w:r>
          </w:p>
        </w:tc>
        <w:tc>
          <w:tcPr>
            <w:tcW w:w="2517" w:type="dxa"/>
          </w:tcPr>
          <w:p w14:paraId="6B68FC56" w14:textId="77777777" w:rsidR="00BB4442" w:rsidRPr="00244C66" w:rsidRDefault="00BB4442" w:rsidP="00BB4442">
            <w:pPr>
              <w:jc w:val="left"/>
              <w:rPr>
                <w:rFonts w:cstheme="minorHAnsi"/>
                <w:sz w:val="24"/>
                <w:szCs w:val="24"/>
              </w:rPr>
            </w:pPr>
            <w:r w:rsidRPr="00244C66">
              <w:rPr>
                <w:rFonts w:cstheme="minorHAnsi"/>
                <w:sz w:val="24"/>
                <w:szCs w:val="24"/>
              </w:rPr>
              <w:t>Uwagę przyjmuje się za zasadną.</w:t>
            </w:r>
          </w:p>
          <w:p w14:paraId="5F4A2C69" w14:textId="2080C09E" w:rsidR="00727DAA" w:rsidRPr="00244C66" w:rsidRDefault="008E3EBD" w:rsidP="00727DAA">
            <w:pPr>
              <w:jc w:val="left"/>
              <w:rPr>
                <w:rFonts w:cstheme="minorHAnsi"/>
                <w:sz w:val="24"/>
                <w:szCs w:val="24"/>
              </w:rPr>
            </w:pPr>
            <w:r w:rsidRPr="00244C66">
              <w:rPr>
                <w:rFonts w:cstheme="minorHAnsi"/>
                <w:sz w:val="24"/>
                <w:szCs w:val="24"/>
              </w:rPr>
              <w:t xml:space="preserve">W rozdziale „6.2. Ustalenia i rekomendacje w zakresie kształtowania i prowadzenia polityki przestrzennej w </w:t>
            </w:r>
            <w:r w:rsidRPr="00244C66">
              <w:rPr>
                <w:rFonts w:cstheme="minorHAnsi"/>
                <w:sz w:val="24"/>
                <w:szCs w:val="24"/>
              </w:rPr>
              <w:lastRenderedPageBreak/>
              <w:t xml:space="preserve">gminie” uzupełniono stosowne „rekomendacje” w odniesieniu do gospodarowania przestrzenią, w tym „dot. terenów lasów, terenów </w:t>
            </w:r>
            <w:r w:rsidR="00727DAA" w:rsidRPr="00244C66">
              <w:rPr>
                <w:rFonts w:cstheme="minorHAnsi"/>
                <w:sz w:val="24"/>
                <w:szCs w:val="24"/>
              </w:rPr>
              <w:t>zagrożenia powodziowego, które wskazano w uwadze: „Należałoby rozważyć wyłączenie spod zabudowy terenów dla strefy położonej w sąsiedztwie wód powierzchniowych bądź terenów cennych przyrodniczo.”</w:t>
            </w:r>
          </w:p>
          <w:p w14:paraId="02878A9F" w14:textId="1AA1DFC4" w:rsidR="008E3EBD" w:rsidRPr="00244C66" w:rsidRDefault="008E3EBD" w:rsidP="00727DAA">
            <w:pPr>
              <w:jc w:val="left"/>
              <w:rPr>
                <w:rFonts w:cstheme="minorHAnsi"/>
                <w:sz w:val="24"/>
                <w:szCs w:val="24"/>
              </w:rPr>
            </w:pPr>
          </w:p>
        </w:tc>
      </w:tr>
      <w:tr w:rsidR="00BB4442" w:rsidRPr="00244C66" w14:paraId="66A1D401" w14:textId="77777777" w:rsidTr="00D76FBC">
        <w:tc>
          <w:tcPr>
            <w:tcW w:w="495" w:type="dxa"/>
          </w:tcPr>
          <w:p w14:paraId="66A9BB38" w14:textId="3F845744" w:rsidR="00BB4442" w:rsidRPr="00244C66" w:rsidRDefault="00BB4442" w:rsidP="00BB4442">
            <w:pPr>
              <w:jc w:val="center"/>
              <w:rPr>
                <w:rFonts w:cstheme="minorHAnsi"/>
                <w:sz w:val="24"/>
                <w:szCs w:val="24"/>
              </w:rPr>
            </w:pPr>
            <w:r w:rsidRPr="00244C66">
              <w:rPr>
                <w:rFonts w:cstheme="minorHAnsi"/>
                <w:sz w:val="24"/>
                <w:szCs w:val="24"/>
              </w:rPr>
              <w:lastRenderedPageBreak/>
              <w:t>12.</w:t>
            </w:r>
          </w:p>
        </w:tc>
        <w:tc>
          <w:tcPr>
            <w:tcW w:w="4575" w:type="dxa"/>
          </w:tcPr>
          <w:p w14:paraId="7530A536" w14:textId="77777777" w:rsidR="00BB4442" w:rsidRPr="00244C66" w:rsidRDefault="00BB4442" w:rsidP="00BB4442">
            <w:pPr>
              <w:jc w:val="left"/>
              <w:rPr>
                <w:rFonts w:cstheme="minorHAnsi"/>
                <w:sz w:val="24"/>
                <w:szCs w:val="24"/>
              </w:rPr>
            </w:pPr>
            <w:r w:rsidRPr="00244C66">
              <w:rPr>
                <w:rFonts w:cstheme="minorHAnsi"/>
                <w:sz w:val="24"/>
                <w:szCs w:val="24"/>
              </w:rPr>
              <w:t>Str. 14 - 2.3. Strefa przestrzenna.</w:t>
            </w:r>
          </w:p>
          <w:p w14:paraId="4A185FB4" w14:textId="77777777" w:rsidR="00BB4442" w:rsidRPr="00244C66" w:rsidRDefault="00BB4442" w:rsidP="00BB4442">
            <w:pPr>
              <w:jc w:val="left"/>
              <w:rPr>
                <w:rFonts w:cstheme="minorHAnsi"/>
                <w:sz w:val="24"/>
                <w:szCs w:val="24"/>
              </w:rPr>
            </w:pPr>
            <w:r w:rsidRPr="00244C66">
              <w:rPr>
                <w:rFonts w:cstheme="minorHAnsi"/>
                <w:sz w:val="24"/>
                <w:szCs w:val="24"/>
              </w:rPr>
              <w:t>Akapit 2.</w:t>
            </w:r>
          </w:p>
          <w:p w14:paraId="1D4C04ED" w14:textId="77777777" w:rsidR="00BB4442" w:rsidRPr="00244C66" w:rsidRDefault="00BB4442" w:rsidP="00BB4442">
            <w:pPr>
              <w:jc w:val="left"/>
              <w:rPr>
                <w:rFonts w:cstheme="minorHAnsi"/>
                <w:sz w:val="24"/>
                <w:szCs w:val="24"/>
              </w:rPr>
            </w:pPr>
            <w:r w:rsidRPr="00244C66">
              <w:rPr>
                <w:rFonts w:cstheme="minorHAnsi"/>
                <w:sz w:val="24"/>
                <w:szCs w:val="24"/>
              </w:rPr>
              <w:t>...w kontekście działalności Aglomeracji Krakowskiej (proponujemy zmienić na: w kontekście działalności Stowarzyszenia Metropolia Krakowska)</w:t>
            </w:r>
          </w:p>
          <w:p w14:paraId="1880501A" w14:textId="09D9D656" w:rsidR="00BB4442" w:rsidRPr="00244C66" w:rsidRDefault="00BB4442" w:rsidP="00BB4442">
            <w:pPr>
              <w:jc w:val="left"/>
              <w:rPr>
                <w:rFonts w:cstheme="minorHAnsi"/>
                <w:sz w:val="24"/>
                <w:szCs w:val="24"/>
              </w:rPr>
            </w:pPr>
            <w:r w:rsidRPr="00244C66">
              <w:rPr>
                <w:rFonts w:cstheme="minorHAnsi"/>
                <w:sz w:val="24"/>
                <w:szCs w:val="24"/>
              </w:rPr>
              <w:t>Gminy zrzeszone są w „Stowarzyszeniu Metropolia Krakowska”.</w:t>
            </w:r>
          </w:p>
        </w:tc>
        <w:tc>
          <w:tcPr>
            <w:tcW w:w="1701" w:type="dxa"/>
          </w:tcPr>
          <w:p w14:paraId="0D8DB97C" w14:textId="3580900B" w:rsidR="00BB4442" w:rsidRPr="00244C66" w:rsidRDefault="00BB4442" w:rsidP="00BB4442">
            <w:pPr>
              <w:jc w:val="left"/>
              <w:rPr>
                <w:rFonts w:cstheme="minorHAnsi"/>
                <w:sz w:val="24"/>
                <w:szCs w:val="24"/>
              </w:rPr>
            </w:pPr>
            <w:r w:rsidRPr="00244C66">
              <w:rPr>
                <w:rFonts w:cstheme="minorHAnsi"/>
                <w:sz w:val="24"/>
                <w:szCs w:val="24"/>
              </w:rPr>
              <w:t>Wydział Strategii, Planowania i Monitorowania Inwestycji w im. Urzędu Miasta Krakowa</w:t>
            </w:r>
          </w:p>
        </w:tc>
        <w:tc>
          <w:tcPr>
            <w:tcW w:w="2517" w:type="dxa"/>
          </w:tcPr>
          <w:p w14:paraId="11117AD4" w14:textId="15EF93C3" w:rsidR="00BB4442" w:rsidRPr="00244C66" w:rsidRDefault="00BB4442" w:rsidP="00BB4442">
            <w:pPr>
              <w:jc w:val="left"/>
              <w:rPr>
                <w:rFonts w:cstheme="minorHAnsi"/>
                <w:sz w:val="24"/>
                <w:szCs w:val="24"/>
              </w:rPr>
            </w:pPr>
            <w:r w:rsidRPr="00244C66">
              <w:rPr>
                <w:rFonts w:cstheme="minorHAnsi"/>
                <w:sz w:val="24"/>
                <w:szCs w:val="24"/>
              </w:rPr>
              <w:t>Uwagę przyjmuje się za zasadną.</w:t>
            </w:r>
            <w:r w:rsidR="00727DAA" w:rsidRPr="00244C66">
              <w:rPr>
                <w:rFonts w:cstheme="minorHAnsi"/>
                <w:sz w:val="24"/>
                <w:szCs w:val="24"/>
              </w:rPr>
              <w:t xml:space="preserve"> Dokonano zmiany wg propozycji zgłoszonej w uwadze. </w:t>
            </w:r>
          </w:p>
        </w:tc>
      </w:tr>
      <w:tr w:rsidR="00BB4442" w:rsidRPr="00244C66" w14:paraId="454D7494" w14:textId="77777777" w:rsidTr="00D76FBC">
        <w:tc>
          <w:tcPr>
            <w:tcW w:w="495" w:type="dxa"/>
          </w:tcPr>
          <w:p w14:paraId="3C3824C6" w14:textId="2FA02EA7" w:rsidR="00BB4442" w:rsidRPr="00244C66" w:rsidRDefault="00BB4442" w:rsidP="00BB4442">
            <w:pPr>
              <w:jc w:val="center"/>
              <w:rPr>
                <w:rFonts w:cstheme="minorHAnsi"/>
                <w:sz w:val="24"/>
                <w:szCs w:val="24"/>
              </w:rPr>
            </w:pPr>
            <w:r w:rsidRPr="00244C66">
              <w:rPr>
                <w:rFonts w:cstheme="minorHAnsi"/>
                <w:sz w:val="24"/>
                <w:szCs w:val="24"/>
              </w:rPr>
              <w:t>13.</w:t>
            </w:r>
          </w:p>
        </w:tc>
        <w:tc>
          <w:tcPr>
            <w:tcW w:w="4575" w:type="dxa"/>
          </w:tcPr>
          <w:p w14:paraId="0F502566" w14:textId="77777777" w:rsidR="00BB4442" w:rsidRPr="00244C66" w:rsidRDefault="00BB4442" w:rsidP="00BB4442">
            <w:pPr>
              <w:jc w:val="left"/>
              <w:rPr>
                <w:rFonts w:cstheme="minorHAnsi"/>
                <w:sz w:val="24"/>
                <w:szCs w:val="24"/>
              </w:rPr>
            </w:pPr>
            <w:r w:rsidRPr="00244C66">
              <w:rPr>
                <w:rFonts w:cstheme="minorHAnsi"/>
                <w:sz w:val="24"/>
                <w:szCs w:val="24"/>
              </w:rPr>
              <w:t>Str. 14 - 2.3. Strefa przestrzenna.</w:t>
            </w:r>
          </w:p>
          <w:p w14:paraId="10B77AA5" w14:textId="77777777" w:rsidR="00BB4442" w:rsidRPr="00244C66" w:rsidRDefault="00BB4442" w:rsidP="00BB4442">
            <w:pPr>
              <w:jc w:val="left"/>
              <w:rPr>
                <w:rFonts w:cstheme="minorHAnsi"/>
                <w:sz w:val="24"/>
                <w:szCs w:val="24"/>
              </w:rPr>
            </w:pPr>
            <w:r w:rsidRPr="00244C66">
              <w:rPr>
                <w:rFonts w:cstheme="minorHAnsi"/>
                <w:sz w:val="24"/>
                <w:szCs w:val="24"/>
              </w:rPr>
              <w:t>Akapit 2</w:t>
            </w:r>
          </w:p>
          <w:p w14:paraId="03F3F88B" w14:textId="57B0AAC2" w:rsidR="00BB4442" w:rsidRPr="00244C66" w:rsidRDefault="00BB4442" w:rsidP="00BB4442">
            <w:pPr>
              <w:jc w:val="left"/>
              <w:rPr>
                <w:rFonts w:cstheme="minorHAnsi"/>
                <w:sz w:val="24"/>
                <w:szCs w:val="24"/>
              </w:rPr>
            </w:pPr>
            <w:r w:rsidRPr="00244C66">
              <w:rPr>
                <w:rFonts w:cstheme="minorHAnsi"/>
                <w:sz w:val="24"/>
                <w:szCs w:val="24"/>
              </w:rPr>
              <w:t>Str. 20 – 3. Wyzwania rozwoju Gminy, punkt 6</w:t>
            </w:r>
          </w:p>
          <w:p w14:paraId="7CBF5F2D" w14:textId="77777777" w:rsidR="00BB4442" w:rsidRPr="00244C66" w:rsidRDefault="00BB4442" w:rsidP="00BB4442">
            <w:pPr>
              <w:jc w:val="left"/>
              <w:rPr>
                <w:rFonts w:cstheme="minorHAnsi"/>
                <w:sz w:val="24"/>
                <w:szCs w:val="24"/>
              </w:rPr>
            </w:pPr>
            <w:r w:rsidRPr="00244C66">
              <w:rPr>
                <w:rFonts w:cstheme="minorHAnsi"/>
                <w:sz w:val="24"/>
                <w:szCs w:val="24"/>
              </w:rPr>
              <w:t>...zrzeszonych w Aglomeracji Krakowskiej (proponujemy zmienić na zrzeszonych w Stowarzyszeniu Metropolia Krakowska)</w:t>
            </w:r>
          </w:p>
          <w:p w14:paraId="50E7822A" w14:textId="184CBF6A" w:rsidR="00BB4442" w:rsidRPr="00244C66" w:rsidRDefault="00BB4442" w:rsidP="00BB4442">
            <w:pPr>
              <w:jc w:val="left"/>
              <w:rPr>
                <w:rFonts w:cstheme="minorHAnsi"/>
                <w:sz w:val="24"/>
                <w:szCs w:val="24"/>
              </w:rPr>
            </w:pPr>
            <w:r w:rsidRPr="00244C66">
              <w:rPr>
                <w:rFonts w:cstheme="minorHAnsi"/>
                <w:sz w:val="24"/>
                <w:szCs w:val="24"/>
              </w:rPr>
              <w:t>Gminy zrzeszone są w „Stowarzyszeniu Metropolia Krakowska”.</w:t>
            </w:r>
          </w:p>
        </w:tc>
        <w:tc>
          <w:tcPr>
            <w:tcW w:w="1701" w:type="dxa"/>
          </w:tcPr>
          <w:p w14:paraId="5C7974F9" w14:textId="39E9FE8C" w:rsidR="00BB4442" w:rsidRPr="00244C66" w:rsidRDefault="00BB4442" w:rsidP="00BB4442">
            <w:pPr>
              <w:jc w:val="left"/>
              <w:rPr>
                <w:rFonts w:cstheme="minorHAnsi"/>
                <w:sz w:val="24"/>
                <w:szCs w:val="24"/>
              </w:rPr>
            </w:pPr>
            <w:r w:rsidRPr="00244C66">
              <w:rPr>
                <w:rFonts w:cstheme="minorHAnsi"/>
                <w:sz w:val="24"/>
                <w:szCs w:val="24"/>
              </w:rPr>
              <w:t>Wydział Strategii, Planowania i Monitorowania Inwestycji w im. Urzędu Miasta Krakowa</w:t>
            </w:r>
          </w:p>
        </w:tc>
        <w:tc>
          <w:tcPr>
            <w:tcW w:w="2517" w:type="dxa"/>
          </w:tcPr>
          <w:p w14:paraId="3A896DFE" w14:textId="32E6A038" w:rsidR="00BB4442" w:rsidRPr="00244C66" w:rsidRDefault="00BB4442" w:rsidP="00BB4442">
            <w:pPr>
              <w:jc w:val="left"/>
              <w:rPr>
                <w:rFonts w:cstheme="minorHAnsi"/>
                <w:sz w:val="24"/>
                <w:szCs w:val="24"/>
              </w:rPr>
            </w:pPr>
            <w:r w:rsidRPr="00244C66">
              <w:rPr>
                <w:rFonts w:cstheme="minorHAnsi"/>
                <w:sz w:val="24"/>
                <w:szCs w:val="24"/>
              </w:rPr>
              <w:t>Uwagę przyjmuje się za zasadną.</w:t>
            </w:r>
            <w:r w:rsidR="00727DAA" w:rsidRPr="00244C66">
              <w:rPr>
                <w:rFonts w:cstheme="minorHAnsi"/>
                <w:sz w:val="24"/>
                <w:szCs w:val="24"/>
              </w:rPr>
              <w:t xml:space="preserve"> Dokonano zmiany wg propozycji zgłoszonej w uwadze.</w:t>
            </w:r>
          </w:p>
        </w:tc>
      </w:tr>
      <w:tr w:rsidR="00BB4442" w:rsidRPr="00244C66" w14:paraId="0F9EEF02" w14:textId="77777777" w:rsidTr="00D76FBC">
        <w:tc>
          <w:tcPr>
            <w:tcW w:w="495" w:type="dxa"/>
          </w:tcPr>
          <w:p w14:paraId="477E1A4C" w14:textId="00301767" w:rsidR="00BB4442" w:rsidRPr="00244C66" w:rsidRDefault="00BB4442" w:rsidP="00BB4442">
            <w:pPr>
              <w:jc w:val="center"/>
              <w:rPr>
                <w:rFonts w:cstheme="minorHAnsi"/>
                <w:sz w:val="24"/>
                <w:szCs w:val="24"/>
              </w:rPr>
            </w:pPr>
            <w:r w:rsidRPr="00244C66">
              <w:rPr>
                <w:rFonts w:cstheme="minorHAnsi"/>
                <w:sz w:val="24"/>
                <w:szCs w:val="24"/>
              </w:rPr>
              <w:t>14.</w:t>
            </w:r>
          </w:p>
        </w:tc>
        <w:tc>
          <w:tcPr>
            <w:tcW w:w="4575" w:type="dxa"/>
          </w:tcPr>
          <w:p w14:paraId="7BE3EFA9" w14:textId="4E68388C" w:rsidR="00BB4442" w:rsidRPr="00244C66" w:rsidRDefault="00BB4442" w:rsidP="00BB4442">
            <w:pPr>
              <w:jc w:val="left"/>
              <w:rPr>
                <w:rFonts w:cstheme="minorHAnsi"/>
                <w:sz w:val="24"/>
                <w:szCs w:val="24"/>
              </w:rPr>
            </w:pPr>
            <w:r w:rsidRPr="00244C66">
              <w:rPr>
                <w:rFonts w:cstheme="minorHAnsi"/>
                <w:sz w:val="24"/>
                <w:szCs w:val="24"/>
              </w:rPr>
              <w:t>Str. 21 – Jak rozwijała się Gmina, punkt 7</w:t>
            </w:r>
          </w:p>
          <w:p w14:paraId="225FAD76" w14:textId="77777777" w:rsidR="00BB4442" w:rsidRPr="00244C66" w:rsidRDefault="00BB4442" w:rsidP="00BB4442">
            <w:pPr>
              <w:jc w:val="left"/>
              <w:rPr>
                <w:rFonts w:cstheme="minorHAnsi"/>
                <w:sz w:val="24"/>
                <w:szCs w:val="24"/>
              </w:rPr>
            </w:pPr>
            <w:r w:rsidRPr="00244C66">
              <w:rPr>
                <w:rFonts w:cstheme="minorHAnsi"/>
                <w:sz w:val="24"/>
                <w:szCs w:val="24"/>
              </w:rPr>
              <w:lastRenderedPageBreak/>
              <w:t>…Gmina jest powiązana z Krakowem komunikacją publiczną (proponujemy zmienić na: Gmina jest skomunikowana z Miastem Kraków liniami publicznego oraz prywatnego transportu zbiorowego)</w:t>
            </w:r>
          </w:p>
          <w:p w14:paraId="4BC3A8DB" w14:textId="2234FAA9" w:rsidR="00BB4442" w:rsidRPr="00244C66" w:rsidRDefault="00BB4442" w:rsidP="00BB4442">
            <w:pPr>
              <w:jc w:val="left"/>
              <w:rPr>
                <w:rFonts w:cstheme="minorHAnsi"/>
                <w:sz w:val="24"/>
                <w:szCs w:val="24"/>
              </w:rPr>
            </w:pPr>
            <w:r w:rsidRPr="00244C66">
              <w:rPr>
                <w:rFonts w:cstheme="minorHAnsi"/>
                <w:sz w:val="24"/>
                <w:szCs w:val="24"/>
              </w:rPr>
              <w:t>Należy zauważyć, że mieszkańcy gminy Świątniki Górne są również obsługiwani przez prywatnych przewoźników.</w:t>
            </w:r>
          </w:p>
        </w:tc>
        <w:tc>
          <w:tcPr>
            <w:tcW w:w="1701" w:type="dxa"/>
          </w:tcPr>
          <w:p w14:paraId="2C31ABD5" w14:textId="63E302B6" w:rsidR="00BB4442" w:rsidRPr="00244C66" w:rsidRDefault="00BB4442" w:rsidP="00BB4442">
            <w:pPr>
              <w:jc w:val="left"/>
              <w:rPr>
                <w:rFonts w:cstheme="minorHAnsi"/>
                <w:sz w:val="24"/>
                <w:szCs w:val="24"/>
              </w:rPr>
            </w:pPr>
            <w:r w:rsidRPr="00244C66">
              <w:rPr>
                <w:rFonts w:cstheme="minorHAnsi"/>
                <w:sz w:val="24"/>
                <w:szCs w:val="24"/>
              </w:rPr>
              <w:lastRenderedPageBreak/>
              <w:t xml:space="preserve">Wydział </w:t>
            </w:r>
            <w:r w:rsidRPr="00244C66">
              <w:rPr>
                <w:rFonts w:cstheme="minorHAnsi"/>
                <w:sz w:val="24"/>
                <w:szCs w:val="24"/>
              </w:rPr>
              <w:lastRenderedPageBreak/>
              <w:t>Strategii, Planowania i Monitorowania Inwestycji w im. Urzędu Miasta Krakowa</w:t>
            </w:r>
          </w:p>
        </w:tc>
        <w:tc>
          <w:tcPr>
            <w:tcW w:w="2517" w:type="dxa"/>
          </w:tcPr>
          <w:p w14:paraId="0899CECB" w14:textId="356694E9" w:rsidR="00BB4442" w:rsidRPr="00244C66" w:rsidRDefault="00BB4442" w:rsidP="00BB4442">
            <w:pPr>
              <w:jc w:val="left"/>
              <w:rPr>
                <w:rFonts w:cstheme="minorHAnsi"/>
                <w:sz w:val="24"/>
                <w:szCs w:val="24"/>
              </w:rPr>
            </w:pPr>
            <w:r w:rsidRPr="00244C66">
              <w:rPr>
                <w:rFonts w:cstheme="minorHAnsi"/>
                <w:sz w:val="24"/>
                <w:szCs w:val="24"/>
              </w:rPr>
              <w:lastRenderedPageBreak/>
              <w:t xml:space="preserve">Uwagę przyjmuje się za </w:t>
            </w:r>
            <w:r w:rsidRPr="00244C66">
              <w:rPr>
                <w:rFonts w:cstheme="minorHAnsi"/>
                <w:sz w:val="24"/>
                <w:szCs w:val="24"/>
              </w:rPr>
              <w:lastRenderedPageBreak/>
              <w:t>zasadną.</w:t>
            </w:r>
            <w:r w:rsidR="00727DAA" w:rsidRPr="00244C66">
              <w:rPr>
                <w:rFonts w:cstheme="minorHAnsi"/>
                <w:sz w:val="24"/>
                <w:szCs w:val="24"/>
              </w:rPr>
              <w:t xml:space="preserve"> Dokonano zmiany wg propozycji zgłoszonej w uwadze.</w:t>
            </w:r>
          </w:p>
        </w:tc>
      </w:tr>
      <w:tr w:rsidR="00BB4442" w:rsidRPr="00244C66" w14:paraId="3C31258A" w14:textId="77777777" w:rsidTr="00D76FBC">
        <w:tc>
          <w:tcPr>
            <w:tcW w:w="495" w:type="dxa"/>
          </w:tcPr>
          <w:p w14:paraId="5F43C81D" w14:textId="5AFEEB48" w:rsidR="00BB4442" w:rsidRPr="00244C66" w:rsidRDefault="00BB4442" w:rsidP="00BB4442">
            <w:pPr>
              <w:jc w:val="center"/>
              <w:rPr>
                <w:rFonts w:cstheme="minorHAnsi"/>
                <w:sz w:val="24"/>
                <w:szCs w:val="24"/>
              </w:rPr>
            </w:pPr>
            <w:r w:rsidRPr="00244C66">
              <w:rPr>
                <w:rFonts w:cstheme="minorHAnsi"/>
                <w:sz w:val="24"/>
                <w:szCs w:val="24"/>
              </w:rPr>
              <w:lastRenderedPageBreak/>
              <w:t>15.</w:t>
            </w:r>
          </w:p>
        </w:tc>
        <w:tc>
          <w:tcPr>
            <w:tcW w:w="4575" w:type="dxa"/>
          </w:tcPr>
          <w:p w14:paraId="6BE543AE" w14:textId="73BE0D50" w:rsidR="00BB4442" w:rsidRPr="00244C66" w:rsidRDefault="00BB4442" w:rsidP="00BB4442">
            <w:pPr>
              <w:jc w:val="left"/>
              <w:rPr>
                <w:rFonts w:cstheme="minorHAnsi"/>
                <w:sz w:val="24"/>
                <w:szCs w:val="24"/>
              </w:rPr>
            </w:pPr>
            <w:r w:rsidRPr="00244C66">
              <w:rPr>
                <w:rFonts w:cstheme="minorHAnsi"/>
                <w:sz w:val="24"/>
                <w:szCs w:val="24"/>
              </w:rPr>
              <w:t>Str. 21 – Jak rozwijała się Gmina, punkt 7</w:t>
            </w:r>
          </w:p>
          <w:p w14:paraId="7CF832C7" w14:textId="357569C2" w:rsidR="00BB4442" w:rsidRPr="00244C66" w:rsidRDefault="00BB4442" w:rsidP="00BB4442">
            <w:pPr>
              <w:jc w:val="left"/>
              <w:rPr>
                <w:rFonts w:cstheme="minorHAnsi"/>
                <w:sz w:val="24"/>
                <w:szCs w:val="24"/>
              </w:rPr>
            </w:pPr>
            <w:r w:rsidRPr="00244C66">
              <w:rPr>
                <w:rFonts w:cstheme="minorHAnsi"/>
                <w:sz w:val="24"/>
                <w:szCs w:val="24"/>
              </w:rPr>
              <w:t>…Gmina jest powiązana z Krakowem komunikacją publiczną,</w:t>
            </w:r>
            <w:r w:rsidR="00727DAA" w:rsidRPr="00244C66">
              <w:rPr>
                <w:rFonts w:cstheme="minorHAnsi"/>
                <w:sz w:val="24"/>
                <w:szCs w:val="24"/>
              </w:rPr>
              <w:t xml:space="preserve"> </w:t>
            </w:r>
            <w:r w:rsidRPr="00244C66">
              <w:rPr>
                <w:rFonts w:cstheme="minorHAnsi"/>
                <w:sz w:val="24"/>
                <w:szCs w:val="24"/>
              </w:rPr>
              <w:t>jednak wymiar komunikacyjny nie jest do końca rozpoznany i wymaga badań i analiz, w celu jego (proponujemy usunąć: wymiar komunikacyjny nie jest do końca rozpoznany i wymaga badań i analiz, w celu jego; dopisać: wymaga) optymalizacji.</w:t>
            </w:r>
          </w:p>
          <w:p w14:paraId="4660D6B4" w14:textId="1EFF8AAA" w:rsidR="00BB4442" w:rsidRPr="00244C66" w:rsidRDefault="00BB4442" w:rsidP="00BB4442">
            <w:pPr>
              <w:jc w:val="left"/>
              <w:rPr>
                <w:rFonts w:cstheme="minorHAnsi"/>
                <w:sz w:val="24"/>
                <w:szCs w:val="24"/>
              </w:rPr>
            </w:pPr>
            <w:r w:rsidRPr="00244C66">
              <w:rPr>
                <w:rFonts w:cstheme="minorHAnsi"/>
                <w:sz w:val="24"/>
                <w:szCs w:val="24"/>
              </w:rPr>
              <w:t xml:space="preserve">W 2018 r. zostały przeprowadzone przez Stowarzyszenie Metropolia Krakowska szczegółowe badania </w:t>
            </w:r>
            <w:proofErr w:type="spellStart"/>
            <w:r w:rsidRPr="00244C66">
              <w:rPr>
                <w:rFonts w:cstheme="minorHAnsi"/>
                <w:sz w:val="24"/>
                <w:szCs w:val="24"/>
              </w:rPr>
              <w:t>napełnień</w:t>
            </w:r>
            <w:proofErr w:type="spellEnd"/>
            <w:r w:rsidRPr="00244C66">
              <w:rPr>
                <w:rFonts w:cstheme="minorHAnsi"/>
                <w:sz w:val="24"/>
                <w:szCs w:val="24"/>
              </w:rPr>
              <w:t xml:space="preserve"> w liniach aglomeracyjnych, w tym liniach obsługujących Gminę Świątniki Górne. Ponadto, przeprowadzono badania struktury wykorzystania biletów na terenie Gmin w tym Gminy Świątniki Górne. Wyniki badań zostały udostępnione Gminom oraz szczegółowo omówione na spotkaniach w SMK.   </w:t>
            </w:r>
          </w:p>
        </w:tc>
        <w:tc>
          <w:tcPr>
            <w:tcW w:w="1701" w:type="dxa"/>
          </w:tcPr>
          <w:p w14:paraId="0C198CE3" w14:textId="2F70C022" w:rsidR="00BB4442" w:rsidRPr="00244C66" w:rsidRDefault="00BB4442" w:rsidP="00BB4442">
            <w:pPr>
              <w:jc w:val="left"/>
              <w:rPr>
                <w:rFonts w:cstheme="minorHAnsi"/>
                <w:sz w:val="24"/>
                <w:szCs w:val="24"/>
              </w:rPr>
            </w:pPr>
            <w:r w:rsidRPr="00244C66">
              <w:rPr>
                <w:rFonts w:cstheme="minorHAnsi"/>
                <w:sz w:val="24"/>
                <w:szCs w:val="24"/>
              </w:rPr>
              <w:t>Wydział Strategii, Planowania i Monitorowania Inwestycji w im. Urzędu Miasta Krakowa</w:t>
            </w:r>
          </w:p>
        </w:tc>
        <w:tc>
          <w:tcPr>
            <w:tcW w:w="2517" w:type="dxa"/>
          </w:tcPr>
          <w:p w14:paraId="1338AA25" w14:textId="284D682E" w:rsidR="005F3F29" w:rsidRPr="00244C66" w:rsidRDefault="005F3F29" w:rsidP="00BB4442">
            <w:pPr>
              <w:jc w:val="left"/>
              <w:rPr>
                <w:rFonts w:cstheme="minorHAnsi"/>
                <w:sz w:val="24"/>
                <w:szCs w:val="24"/>
              </w:rPr>
            </w:pPr>
            <w:r w:rsidRPr="00244C66">
              <w:rPr>
                <w:rFonts w:cstheme="minorHAnsi"/>
                <w:sz w:val="24"/>
                <w:szCs w:val="24"/>
              </w:rPr>
              <w:t xml:space="preserve">Uwagę przyjmuje się za niezasadną. </w:t>
            </w:r>
          </w:p>
          <w:p w14:paraId="4B3E9D9B" w14:textId="4FD0B76B" w:rsidR="005F3F29" w:rsidRPr="00244C66" w:rsidRDefault="00861A23" w:rsidP="00BB4442">
            <w:pPr>
              <w:jc w:val="left"/>
              <w:rPr>
                <w:rFonts w:cstheme="minorHAnsi"/>
                <w:sz w:val="24"/>
                <w:szCs w:val="24"/>
              </w:rPr>
            </w:pPr>
            <w:r w:rsidRPr="00244C66">
              <w:rPr>
                <w:rFonts w:cstheme="minorHAnsi"/>
                <w:sz w:val="24"/>
                <w:szCs w:val="24"/>
              </w:rPr>
              <w:t xml:space="preserve">Z konsultacji prowadzonych m. in. z mieszkańcami gminy wynika, </w:t>
            </w:r>
            <w:r w:rsidR="005F3F29" w:rsidRPr="00244C66">
              <w:rPr>
                <w:rFonts w:cstheme="minorHAnsi"/>
                <w:sz w:val="24"/>
                <w:szCs w:val="24"/>
              </w:rPr>
              <w:t>że problem dostępu do komunikacji jest wciąż nie do końca rozpoznany</w:t>
            </w:r>
            <w:r w:rsidRPr="00244C66">
              <w:rPr>
                <w:rFonts w:cstheme="minorHAnsi"/>
                <w:sz w:val="24"/>
                <w:szCs w:val="24"/>
              </w:rPr>
              <w:t xml:space="preserve">, m. in. z uwagi na dużą dynamikę zmian przestrzennych. </w:t>
            </w:r>
          </w:p>
        </w:tc>
      </w:tr>
      <w:tr w:rsidR="00D02913" w:rsidRPr="00244C66" w14:paraId="4ACD1EB5" w14:textId="77777777" w:rsidTr="00D76FBC">
        <w:tc>
          <w:tcPr>
            <w:tcW w:w="495" w:type="dxa"/>
          </w:tcPr>
          <w:p w14:paraId="4479FDFE" w14:textId="3ECFE55C" w:rsidR="00D02913" w:rsidRPr="00244C66" w:rsidRDefault="00D02913" w:rsidP="00D02913">
            <w:pPr>
              <w:jc w:val="center"/>
              <w:rPr>
                <w:rFonts w:cstheme="minorHAnsi"/>
                <w:sz w:val="24"/>
                <w:szCs w:val="24"/>
              </w:rPr>
            </w:pPr>
            <w:r w:rsidRPr="00244C66">
              <w:rPr>
                <w:rFonts w:cstheme="minorHAnsi"/>
                <w:sz w:val="24"/>
                <w:szCs w:val="24"/>
              </w:rPr>
              <w:t>16.</w:t>
            </w:r>
          </w:p>
        </w:tc>
        <w:tc>
          <w:tcPr>
            <w:tcW w:w="4575" w:type="dxa"/>
          </w:tcPr>
          <w:p w14:paraId="7B032A66" w14:textId="77777777" w:rsidR="00D02913" w:rsidRPr="00244C66" w:rsidRDefault="00D02913" w:rsidP="00D02913">
            <w:pPr>
              <w:jc w:val="left"/>
              <w:rPr>
                <w:rFonts w:cstheme="minorHAnsi"/>
                <w:sz w:val="24"/>
                <w:szCs w:val="24"/>
              </w:rPr>
            </w:pPr>
            <w:r w:rsidRPr="00244C66">
              <w:rPr>
                <w:rFonts w:cstheme="minorHAnsi"/>
                <w:sz w:val="24"/>
                <w:szCs w:val="24"/>
              </w:rPr>
              <w:t>Str. 59</w:t>
            </w:r>
          </w:p>
          <w:p w14:paraId="02DAF692" w14:textId="77777777" w:rsidR="00D02913" w:rsidRPr="00244C66" w:rsidRDefault="00D02913" w:rsidP="00D02913">
            <w:pPr>
              <w:jc w:val="left"/>
              <w:rPr>
                <w:rFonts w:cstheme="minorHAnsi"/>
                <w:sz w:val="24"/>
                <w:szCs w:val="24"/>
              </w:rPr>
            </w:pPr>
            <w:r w:rsidRPr="00244C66">
              <w:rPr>
                <w:rFonts w:cstheme="minorHAnsi"/>
                <w:sz w:val="24"/>
                <w:szCs w:val="24"/>
              </w:rPr>
              <w:t>Priorytet 3.2. Rozwinięta oferta komunikacji publicznej</w:t>
            </w:r>
          </w:p>
          <w:p w14:paraId="73ECAF44" w14:textId="104D208E" w:rsidR="00D02913" w:rsidRPr="00244C66" w:rsidRDefault="00D02913" w:rsidP="00D02913">
            <w:pPr>
              <w:jc w:val="left"/>
              <w:rPr>
                <w:rFonts w:cstheme="minorHAnsi"/>
                <w:sz w:val="24"/>
                <w:szCs w:val="24"/>
              </w:rPr>
            </w:pPr>
            <w:r w:rsidRPr="00244C66">
              <w:rPr>
                <w:rFonts w:cstheme="minorHAnsi"/>
                <w:sz w:val="24"/>
                <w:szCs w:val="24"/>
              </w:rPr>
              <w:t>Wskaźnik produktu: Liczba przedsięwzięć dot. propozycji rozwiązań i zmian przebiegu infrastruktury transportowej (proponujemy usunąć: infrastruktury transportowej; dodać: linii publicznego transportu zbiorowego)</w:t>
            </w:r>
            <w:r w:rsidR="00727DAA" w:rsidRPr="00244C66">
              <w:rPr>
                <w:rFonts w:cstheme="minorHAnsi"/>
                <w:sz w:val="24"/>
                <w:szCs w:val="24"/>
              </w:rPr>
              <w:t>.</w:t>
            </w:r>
          </w:p>
          <w:p w14:paraId="1711D178" w14:textId="255760E5" w:rsidR="00D02913" w:rsidRPr="00244C66" w:rsidRDefault="00D02913" w:rsidP="00D02913">
            <w:pPr>
              <w:jc w:val="left"/>
              <w:rPr>
                <w:rFonts w:cstheme="minorHAnsi"/>
                <w:sz w:val="24"/>
                <w:szCs w:val="24"/>
              </w:rPr>
            </w:pPr>
            <w:r w:rsidRPr="00244C66">
              <w:rPr>
                <w:rFonts w:cstheme="minorHAnsi"/>
                <w:sz w:val="24"/>
                <w:szCs w:val="24"/>
              </w:rPr>
              <w:t xml:space="preserve">Nie mamy wiedzy co dokładnie ma na myśli autor, ale wskaźnik związany z infrastrukturą transportową powinien być wskaźnikiem do priorytetu 3.1. Zmodernizowany i bezpieczny układ komunikacyjny jako wskaźnik związany z </w:t>
            </w:r>
            <w:r w:rsidRPr="00244C66">
              <w:rPr>
                <w:rFonts w:cstheme="minorHAnsi"/>
                <w:sz w:val="24"/>
                <w:szCs w:val="24"/>
              </w:rPr>
              <w:lastRenderedPageBreak/>
              <w:t>infrastrukturą drogową.</w:t>
            </w:r>
          </w:p>
        </w:tc>
        <w:tc>
          <w:tcPr>
            <w:tcW w:w="1701" w:type="dxa"/>
          </w:tcPr>
          <w:p w14:paraId="219D940E" w14:textId="6668842B" w:rsidR="00D02913" w:rsidRPr="00244C66" w:rsidRDefault="00D02913" w:rsidP="00D02913">
            <w:pPr>
              <w:jc w:val="left"/>
              <w:rPr>
                <w:rFonts w:cstheme="minorHAnsi"/>
                <w:sz w:val="24"/>
                <w:szCs w:val="24"/>
              </w:rPr>
            </w:pPr>
            <w:r w:rsidRPr="00244C66">
              <w:rPr>
                <w:rFonts w:cstheme="minorHAnsi"/>
                <w:sz w:val="24"/>
                <w:szCs w:val="24"/>
              </w:rPr>
              <w:lastRenderedPageBreak/>
              <w:t>Wydział Strategii, Planowania i Monitorowania Inwestycji w im. Urzędu Miasta Krakowa</w:t>
            </w:r>
          </w:p>
        </w:tc>
        <w:tc>
          <w:tcPr>
            <w:tcW w:w="2517" w:type="dxa"/>
          </w:tcPr>
          <w:p w14:paraId="35459E0D" w14:textId="0C1F1F30" w:rsidR="00D02913" w:rsidRPr="00244C66" w:rsidRDefault="00D02913" w:rsidP="00D02913">
            <w:pPr>
              <w:jc w:val="left"/>
              <w:rPr>
                <w:rFonts w:cstheme="minorHAnsi"/>
                <w:sz w:val="24"/>
                <w:szCs w:val="24"/>
              </w:rPr>
            </w:pPr>
            <w:r w:rsidRPr="00244C66">
              <w:rPr>
                <w:rFonts w:cstheme="minorHAnsi"/>
                <w:sz w:val="24"/>
                <w:szCs w:val="24"/>
              </w:rPr>
              <w:t>Uwagę przyjmuje się za zasadną.</w:t>
            </w:r>
            <w:r w:rsidR="00772BC1" w:rsidRPr="00244C66">
              <w:rPr>
                <w:rFonts w:cstheme="minorHAnsi"/>
                <w:sz w:val="24"/>
                <w:szCs w:val="24"/>
              </w:rPr>
              <w:t xml:space="preserve"> Dokonano zmiany wg propozycji zgłoszonej w uwadze.</w:t>
            </w:r>
          </w:p>
        </w:tc>
      </w:tr>
      <w:tr w:rsidR="00D02913" w:rsidRPr="00244C66" w14:paraId="2D3D2CE1" w14:textId="77777777" w:rsidTr="00D76FBC">
        <w:tc>
          <w:tcPr>
            <w:tcW w:w="495" w:type="dxa"/>
          </w:tcPr>
          <w:p w14:paraId="522BE1C6" w14:textId="726CB120" w:rsidR="00D02913" w:rsidRPr="00244C66" w:rsidRDefault="00D02913" w:rsidP="00D02913">
            <w:pPr>
              <w:jc w:val="center"/>
              <w:rPr>
                <w:rFonts w:cstheme="minorHAnsi"/>
                <w:sz w:val="24"/>
                <w:szCs w:val="24"/>
              </w:rPr>
            </w:pPr>
            <w:r w:rsidRPr="00244C66">
              <w:rPr>
                <w:rFonts w:cstheme="minorHAnsi"/>
                <w:sz w:val="24"/>
                <w:szCs w:val="24"/>
              </w:rPr>
              <w:t>17.</w:t>
            </w:r>
          </w:p>
        </w:tc>
        <w:tc>
          <w:tcPr>
            <w:tcW w:w="4575" w:type="dxa"/>
          </w:tcPr>
          <w:p w14:paraId="5C784436" w14:textId="77777777" w:rsidR="00D02913" w:rsidRPr="00244C66" w:rsidRDefault="00D02913" w:rsidP="00D02913">
            <w:pPr>
              <w:jc w:val="left"/>
              <w:rPr>
                <w:rFonts w:cstheme="minorHAnsi"/>
                <w:sz w:val="24"/>
                <w:szCs w:val="24"/>
              </w:rPr>
            </w:pPr>
            <w:r w:rsidRPr="00244C66">
              <w:rPr>
                <w:rFonts w:cstheme="minorHAnsi"/>
                <w:sz w:val="24"/>
                <w:szCs w:val="24"/>
              </w:rPr>
              <w:t>Str. 59</w:t>
            </w:r>
          </w:p>
          <w:p w14:paraId="6D57A94B" w14:textId="77777777" w:rsidR="00D02913" w:rsidRPr="00244C66" w:rsidRDefault="00D02913" w:rsidP="00D02913">
            <w:pPr>
              <w:jc w:val="left"/>
              <w:rPr>
                <w:rFonts w:cstheme="minorHAnsi"/>
                <w:sz w:val="24"/>
                <w:szCs w:val="24"/>
              </w:rPr>
            </w:pPr>
            <w:r w:rsidRPr="00244C66">
              <w:rPr>
                <w:rFonts w:cstheme="minorHAnsi"/>
                <w:sz w:val="24"/>
                <w:szCs w:val="24"/>
              </w:rPr>
              <w:t>Priorytet 3.2. Rozwinięta oferta komunikacji publicznej</w:t>
            </w:r>
          </w:p>
          <w:p w14:paraId="67B4519E" w14:textId="77777777" w:rsidR="00D02913" w:rsidRPr="00244C66" w:rsidRDefault="00D02913" w:rsidP="00D02913">
            <w:pPr>
              <w:jc w:val="left"/>
              <w:rPr>
                <w:rFonts w:cstheme="minorHAnsi"/>
                <w:sz w:val="24"/>
                <w:szCs w:val="24"/>
              </w:rPr>
            </w:pPr>
            <w:r w:rsidRPr="00244C66">
              <w:rPr>
                <w:rFonts w:cstheme="minorHAnsi"/>
                <w:sz w:val="24"/>
                <w:szCs w:val="24"/>
              </w:rPr>
              <w:t>Wskaźnik produktu: Utworzone miejsca przesiadkowe w aglomeracji krakowskiej wykorzystywane przez mieszkańców gminy (proponujemy usunąć: aglomeracji krakowskiej</w:t>
            </w:r>
          </w:p>
          <w:p w14:paraId="070EBE5C" w14:textId="77777777" w:rsidR="00D02913" w:rsidRPr="00244C66" w:rsidRDefault="00D02913" w:rsidP="00D02913">
            <w:pPr>
              <w:jc w:val="left"/>
              <w:rPr>
                <w:rFonts w:cstheme="minorHAnsi"/>
                <w:sz w:val="24"/>
                <w:szCs w:val="24"/>
              </w:rPr>
            </w:pPr>
            <w:r w:rsidRPr="00244C66">
              <w:rPr>
                <w:rFonts w:cstheme="minorHAnsi"/>
                <w:sz w:val="24"/>
                <w:szCs w:val="24"/>
              </w:rPr>
              <w:t>wykorzystywane przez mieszkańców gminy; dodać Gminie)</w:t>
            </w:r>
          </w:p>
          <w:p w14:paraId="20C9BAC0" w14:textId="77777777" w:rsidR="00D02913" w:rsidRPr="00244C66" w:rsidRDefault="00D02913" w:rsidP="00D02913">
            <w:pPr>
              <w:jc w:val="left"/>
              <w:rPr>
                <w:rFonts w:cstheme="minorHAnsi"/>
                <w:sz w:val="24"/>
                <w:szCs w:val="24"/>
              </w:rPr>
            </w:pPr>
            <w:r w:rsidRPr="00244C66">
              <w:rPr>
                <w:rFonts w:cstheme="minorHAnsi"/>
                <w:sz w:val="24"/>
                <w:szCs w:val="24"/>
              </w:rPr>
              <w:t>Wskaźnik w obecnym kształcie nie dotyczy Gminy Świątniki Górne, punkty przesiadkowe tworzone przez inne Gminy, na terenie tych Gmin w żaden sposób nie charakteryzują działań Gminy Świątniki.</w:t>
            </w:r>
          </w:p>
          <w:p w14:paraId="78814709" w14:textId="760E2B11" w:rsidR="00D02913" w:rsidRPr="00244C66" w:rsidRDefault="00D02913" w:rsidP="00D02913">
            <w:pPr>
              <w:jc w:val="left"/>
              <w:rPr>
                <w:rFonts w:cstheme="minorHAnsi"/>
                <w:sz w:val="24"/>
                <w:szCs w:val="24"/>
              </w:rPr>
            </w:pPr>
            <w:r w:rsidRPr="00244C66">
              <w:rPr>
                <w:rFonts w:cstheme="minorHAnsi"/>
                <w:sz w:val="24"/>
                <w:szCs w:val="24"/>
              </w:rPr>
              <w:t>W celu określenia poziomu realizacji kierunku działania „Priorytet 3.2.2. Rozwijanie i optymalizacja połączeń komunikacji publicznej, w tym z uwzględnieniem sieci kolejowej” można użyć np. ilości kursów kierowanych do obsługi mieszkańców Gminy, realizowanych w publicznym transporcie zbiorowym w określonym przedziale czasowym np. w typowy dzień powszedni.</w:t>
            </w:r>
          </w:p>
        </w:tc>
        <w:tc>
          <w:tcPr>
            <w:tcW w:w="1701" w:type="dxa"/>
          </w:tcPr>
          <w:p w14:paraId="128F29DF" w14:textId="1EBF0697" w:rsidR="00D02913" w:rsidRPr="00244C66" w:rsidRDefault="00D02913" w:rsidP="00D02913">
            <w:pPr>
              <w:jc w:val="left"/>
              <w:rPr>
                <w:rFonts w:cstheme="minorHAnsi"/>
                <w:sz w:val="24"/>
                <w:szCs w:val="24"/>
              </w:rPr>
            </w:pPr>
            <w:r w:rsidRPr="00244C66">
              <w:rPr>
                <w:rFonts w:cstheme="minorHAnsi"/>
                <w:sz w:val="24"/>
                <w:szCs w:val="24"/>
              </w:rPr>
              <w:t>Wydział Strategii, Planowania i Monitorowania Inwestycji w im. Urzędu Miasta Krakowa</w:t>
            </w:r>
          </w:p>
        </w:tc>
        <w:tc>
          <w:tcPr>
            <w:tcW w:w="2517" w:type="dxa"/>
          </w:tcPr>
          <w:p w14:paraId="1945FE65" w14:textId="15D09F5A" w:rsidR="00D02913" w:rsidRPr="00244C66" w:rsidRDefault="00D02913" w:rsidP="00D02913">
            <w:pPr>
              <w:jc w:val="left"/>
              <w:rPr>
                <w:rFonts w:cstheme="minorHAnsi"/>
                <w:sz w:val="24"/>
                <w:szCs w:val="24"/>
              </w:rPr>
            </w:pPr>
            <w:r w:rsidRPr="00244C66">
              <w:rPr>
                <w:rFonts w:cstheme="minorHAnsi"/>
                <w:sz w:val="24"/>
                <w:szCs w:val="24"/>
              </w:rPr>
              <w:t>Uwagę przyjmuje się za zasadną.</w:t>
            </w:r>
            <w:r w:rsidR="00772BC1" w:rsidRPr="00244C66">
              <w:rPr>
                <w:rFonts w:cstheme="minorHAnsi"/>
                <w:sz w:val="24"/>
                <w:szCs w:val="24"/>
              </w:rPr>
              <w:t xml:space="preserve"> Wskaźnik zamieniono na „Ilość kursów kierowanych do obsługi mieszkańców Gminy, realizowanych w publicznym transporcie zbiorowym w określonym przedziale czasowym np. w typowy dzień powszedni”.</w:t>
            </w:r>
          </w:p>
        </w:tc>
      </w:tr>
      <w:tr w:rsidR="00D02913" w:rsidRPr="00244C66" w14:paraId="40ECE4F3" w14:textId="77777777" w:rsidTr="00D76FBC">
        <w:tc>
          <w:tcPr>
            <w:tcW w:w="495" w:type="dxa"/>
          </w:tcPr>
          <w:p w14:paraId="1EEF7275" w14:textId="579C7504" w:rsidR="00D02913" w:rsidRPr="00244C66" w:rsidRDefault="00D02913" w:rsidP="00D02913">
            <w:pPr>
              <w:jc w:val="center"/>
              <w:rPr>
                <w:rFonts w:cstheme="minorHAnsi"/>
                <w:sz w:val="24"/>
                <w:szCs w:val="24"/>
              </w:rPr>
            </w:pPr>
            <w:r w:rsidRPr="00244C66">
              <w:rPr>
                <w:rFonts w:cstheme="minorHAnsi"/>
                <w:sz w:val="24"/>
                <w:szCs w:val="24"/>
              </w:rPr>
              <w:t>18.</w:t>
            </w:r>
          </w:p>
        </w:tc>
        <w:tc>
          <w:tcPr>
            <w:tcW w:w="4575" w:type="dxa"/>
          </w:tcPr>
          <w:p w14:paraId="749EA020" w14:textId="77777777" w:rsidR="00D02913" w:rsidRPr="00244C66" w:rsidRDefault="00D02913" w:rsidP="00D02913">
            <w:pPr>
              <w:jc w:val="left"/>
              <w:rPr>
                <w:rFonts w:cstheme="minorHAnsi"/>
                <w:sz w:val="24"/>
                <w:szCs w:val="24"/>
              </w:rPr>
            </w:pPr>
            <w:r w:rsidRPr="00244C66">
              <w:rPr>
                <w:rFonts w:cstheme="minorHAnsi"/>
                <w:sz w:val="24"/>
                <w:szCs w:val="24"/>
              </w:rPr>
              <w:t>Str. 32</w:t>
            </w:r>
          </w:p>
          <w:p w14:paraId="5EB05D0B" w14:textId="77777777" w:rsidR="00D02913" w:rsidRPr="00244C66" w:rsidRDefault="00D02913" w:rsidP="00D02913">
            <w:pPr>
              <w:jc w:val="left"/>
              <w:rPr>
                <w:rFonts w:cstheme="minorHAnsi"/>
                <w:sz w:val="24"/>
                <w:szCs w:val="24"/>
              </w:rPr>
            </w:pPr>
            <w:r w:rsidRPr="00244C66">
              <w:rPr>
                <w:rFonts w:cstheme="minorHAnsi"/>
                <w:sz w:val="24"/>
                <w:szCs w:val="24"/>
              </w:rPr>
              <w:t>Priorytet 2.2. Rozwinięta oferta kulturalna, współtworzona przez mieszkańców</w:t>
            </w:r>
          </w:p>
          <w:p w14:paraId="600C78DA" w14:textId="77777777" w:rsidR="00D02913" w:rsidRPr="00244C66" w:rsidRDefault="00D02913" w:rsidP="00D02913">
            <w:pPr>
              <w:jc w:val="left"/>
              <w:rPr>
                <w:rFonts w:cstheme="minorHAnsi"/>
                <w:sz w:val="24"/>
                <w:szCs w:val="24"/>
              </w:rPr>
            </w:pPr>
            <w:r w:rsidRPr="00244C66">
              <w:rPr>
                <w:rFonts w:cstheme="minorHAnsi"/>
                <w:sz w:val="24"/>
                <w:szCs w:val="24"/>
              </w:rPr>
              <w:t>W formułowaniu tego priorytetu i jego kierunków działania proponujemy uwzględnić rozważenie nawiązania współpracy z Krakowem i innymi gminami Krakowskiego Obszaru Metropolitalnego w zakresie tworzenia wspólnej oferty kulturalnej.</w:t>
            </w:r>
          </w:p>
          <w:p w14:paraId="28B4AE9E" w14:textId="77777777" w:rsidR="00D02913" w:rsidRPr="00244C66" w:rsidRDefault="00D02913" w:rsidP="00D02913">
            <w:pPr>
              <w:jc w:val="left"/>
              <w:rPr>
                <w:rFonts w:cstheme="minorHAnsi"/>
                <w:sz w:val="24"/>
                <w:szCs w:val="24"/>
              </w:rPr>
            </w:pPr>
            <w:r w:rsidRPr="00244C66">
              <w:rPr>
                <w:rFonts w:cstheme="minorHAnsi"/>
                <w:sz w:val="24"/>
                <w:szCs w:val="24"/>
              </w:rPr>
              <w:t xml:space="preserve">Strategia Rozwoju Gminy Świątniki Górne (SRGŚG) zawiera zapisy o problemach związanych z dziedziną kultury: s. 21: “deficytowo należy ocenić dostęp do (...) częściowo także oferty kultury”. Jako jedno z kluczowych wyzwań rozwojowych SRGŚG stawia sobie “rozwój infrastruktury i oferty </w:t>
            </w:r>
            <w:r w:rsidRPr="00244C66">
              <w:rPr>
                <w:rFonts w:cstheme="minorHAnsi"/>
                <w:sz w:val="24"/>
                <w:szCs w:val="24"/>
              </w:rPr>
              <w:lastRenderedPageBreak/>
              <w:t>społecznej, edukacyjnej, kulturalnej” (s. 21). W priorytecie 2.2 (s. 32) zastrzega, że gmina “dążyć będzie do lepszego wykorzystania swoich atutów i zasobów dziedzictwa kulturowego, wyróżniającego ją w przestrzeni otaczającej Kraków”. Jako jedną z szans w rozwoju jako takim SRGŚG postrzega współpracę ponadlokalną, ukierunkowaną na “kompleksowe rozwiązywanie problemów i wykorzystanie atutów rozwojowych w układach funkcjonalnych.” (s. 18)</w:t>
            </w:r>
          </w:p>
          <w:p w14:paraId="369BBAFE" w14:textId="77777777" w:rsidR="00D02913" w:rsidRPr="00244C66" w:rsidRDefault="00D02913" w:rsidP="00D02913">
            <w:pPr>
              <w:jc w:val="left"/>
              <w:rPr>
                <w:rFonts w:cstheme="minorHAnsi"/>
                <w:sz w:val="24"/>
                <w:szCs w:val="24"/>
              </w:rPr>
            </w:pPr>
          </w:p>
          <w:p w14:paraId="0F6162B7" w14:textId="77777777" w:rsidR="00D02913" w:rsidRPr="00244C66" w:rsidRDefault="00D02913" w:rsidP="00D02913">
            <w:pPr>
              <w:jc w:val="left"/>
              <w:rPr>
                <w:rFonts w:cstheme="minorHAnsi"/>
                <w:sz w:val="24"/>
                <w:szCs w:val="24"/>
              </w:rPr>
            </w:pPr>
            <w:r w:rsidRPr="00244C66">
              <w:rPr>
                <w:rFonts w:cstheme="minorHAnsi"/>
                <w:sz w:val="24"/>
                <w:szCs w:val="24"/>
              </w:rPr>
              <w:t>Te zapisy odnośnie do współpracy i kultury korelują z zapisami „Strategii Rozwoju Krakowa. Tu chcę żyć. Kraków 2030” (SRK 2030): s. 25: „CEL OPERACYJNY I.2: Skoordynowane wykorzystywanie potencjałów Krakowskiego Obszaru Metropolitalnego (KOM) (…) Działania kluczowe (…) 2: Tworzenie zintegrowanej oferty dla inwestorów, przedsięwzięć kulturalnych, turystycznych i rekreacyjnych.”</w:t>
            </w:r>
          </w:p>
          <w:p w14:paraId="2614C20D" w14:textId="77777777" w:rsidR="00D02913" w:rsidRPr="00244C66" w:rsidRDefault="00D02913" w:rsidP="00D02913">
            <w:pPr>
              <w:jc w:val="left"/>
              <w:rPr>
                <w:rFonts w:cstheme="minorHAnsi"/>
                <w:sz w:val="24"/>
                <w:szCs w:val="24"/>
              </w:rPr>
            </w:pPr>
          </w:p>
          <w:p w14:paraId="6306A740" w14:textId="05652FB6" w:rsidR="00D02913" w:rsidRPr="00244C66" w:rsidRDefault="00D02913" w:rsidP="00D02913">
            <w:pPr>
              <w:jc w:val="left"/>
              <w:rPr>
                <w:rFonts w:cstheme="minorHAnsi"/>
                <w:sz w:val="24"/>
                <w:szCs w:val="24"/>
              </w:rPr>
            </w:pPr>
            <w:r w:rsidRPr="00244C66">
              <w:rPr>
                <w:rFonts w:cstheme="minorHAnsi"/>
                <w:sz w:val="24"/>
                <w:szCs w:val="24"/>
              </w:rPr>
              <w:t>Proponujemy rozważyć wprowadzenie do SRGŚG współpracy w zakresie kultury z Krakowem i KOM w celu zwiększenia dostępu i deglomeracji kultury.</w:t>
            </w:r>
          </w:p>
        </w:tc>
        <w:tc>
          <w:tcPr>
            <w:tcW w:w="1701" w:type="dxa"/>
          </w:tcPr>
          <w:p w14:paraId="114B3DA9" w14:textId="7B0DF956" w:rsidR="00D02913" w:rsidRPr="00244C66" w:rsidRDefault="00D02913" w:rsidP="00D02913">
            <w:pPr>
              <w:jc w:val="left"/>
              <w:rPr>
                <w:rFonts w:cstheme="minorHAnsi"/>
                <w:sz w:val="24"/>
                <w:szCs w:val="24"/>
              </w:rPr>
            </w:pPr>
            <w:r w:rsidRPr="00244C66">
              <w:rPr>
                <w:rFonts w:cstheme="minorHAnsi"/>
                <w:sz w:val="24"/>
                <w:szCs w:val="24"/>
              </w:rPr>
              <w:lastRenderedPageBreak/>
              <w:t>Wydział Strategii, Planowania i Monitorowania Inwestycji w im. Urzędu Miasta Krakowa</w:t>
            </w:r>
          </w:p>
        </w:tc>
        <w:tc>
          <w:tcPr>
            <w:tcW w:w="2517" w:type="dxa"/>
          </w:tcPr>
          <w:p w14:paraId="0E893618" w14:textId="2529F8D1" w:rsidR="0073312C" w:rsidRPr="00244C66" w:rsidRDefault="00D02913" w:rsidP="00D02913">
            <w:pPr>
              <w:jc w:val="left"/>
              <w:rPr>
                <w:rFonts w:cstheme="minorHAnsi"/>
                <w:sz w:val="24"/>
                <w:szCs w:val="24"/>
              </w:rPr>
            </w:pPr>
            <w:r w:rsidRPr="00244C66">
              <w:rPr>
                <w:rFonts w:cstheme="minorHAnsi"/>
                <w:sz w:val="24"/>
                <w:szCs w:val="24"/>
              </w:rPr>
              <w:t>Uwagę przyjmuje się za zasadną.</w:t>
            </w:r>
            <w:r w:rsidR="0073312C" w:rsidRPr="00244C66">
              <w:rPr>
                <w:rFonts w:cstheme="minorHAnsi"/>
                <w:sz w:val="24"/>
                <w:szCs w:val="24"/>
              </w:rPr>
              <w:t xml:space="preserve"> Dodano kierunek działań „2.2.8. Współpraca w zakresie kultury z Krakowem i innymi gminami Krakowskiego Obszaru Metropolitalnego w celu zwiększenia dostępu i deglomeracji kultury.”</w:t>
            </w:r>
          </w:p>
        </w:tc>
      </w:tr>
      <w:tr w:rsidR="00D02913" w:rsidRPr="00244C66" w14:paraId="08B331D9" w14:textId="77777777" w:rsidTr="00D76FBC">
        <w:tc>
          <w:tcPr>
            <w:tcW w:w="495" w:type="dxa"/>
          </w:tcPr>
          <w:p w14:paraId="5B181AE3" w14:textId="3EFCDDAF" w:rsidR="00D02913" w:rsidRPr="00244C66" w:rsidRDefault="00D02913" w:rsidP="00D02913">
            <w:pPr>
              <w:jc w:val="center"/>
              <w:rPr>
                <w:rFonts w:cstheme="minorHAnsi"/>
                <w:sz w:val="24"/>
                <w:szCs w:val="24"/>
              </w:rPr>
            </w:pPr>
            <w:r w:rsidRPr="00244C66">
              <w:rPr>
                <w:rFonts w:cstheme="minorHAnsi"/>
                <w:sz w:val="24"/>
                <w:szCs w:val="24"/>
              </w:rPr>
              <w:t>19.</w:t>
            </w:r>
          </w:p>
        </w:tc>
        <w:tc>
          <w:tcPr>
            <w:tcW w:w="4575" w:type="dxa"/>
          </w:tcPr>
          <w:p w14:paraId="78EA669F" w14:textId="77777777" w:rsidR="00D02913" w:rsidRPr="00244C66" w:rsidRDefault="00D02913" w:rsidP="00D02913">
            <w:pPr>
              <w:jc w:val="left"/>
              <w:rPr>
                <w:rFonts w:cstheme="minorHAnsi"/>
                <w:sz w:val="24"/>
                <w:szCs w:val="24"/>
              </w:rPr>
            </w:pPr>
            <w:r w:rsidRPr="00244C66">
              <w:rPr>
                <w:rFonts w:cstheme="minorHAnsi"/>
                <w:sz w:val="24"/>
                <w:szCs w:val="24"/>
              </w:rPr>
              <w:t>Str. 43</w:t>
            </w:r>
          </w:p>
          <w:p w14:paraId="010ABFD4" w14:textId="77777777" w:rsidR="00D02913" w:rsidRPr="00244C66" w:rsidRDefault="00D02913" w:rsidP="00D02913">
            <w:pPr>
              <w:jc w:val="left"/>
              <w:rPr>
                <w:rFonts w:cstheme="minorHAnsi"/>
                <w:sz w:val="24"/>
                <w:szCs w:val="24"/>
              </w:rPr>
            </w:pPr>
            <w:r w:rsidRPr="00244C66">
              <w:rPr>
                <w:rFonts w:cstheme="minorHAnsi"/>
                <w:sz w:val="24"/>
                <w:szCs w:val="24"/>
              </w:rPr>
              <w:t>6.2. Ustalenia i rekomendacje w zakresie kształtowania i prowadzenia polityki przestrzennej w gminie Świątniki Górne.</w:t>
            </w:r>
          </w:p>
          <w:p w14:paraId="46CC63C9" w14:textId="6894C24D" w:rsidR="00D02913" w:rsidRPr="00244C66" w:rsidRDefault="00D02913" w:rsidP="00D02913">
            <w:pPr>
              <w:jc w:val="left"/>
              <w:rPr>
                <w:rFonts w:cstheme="minorHAnsi"/>
                <w:sz w:val="24"/>
                <w:szCs w:val="24"/>
              </w:rPr>
            </w:pPr>
            <w:r w:rsidRPr="00244C66">
              <w:rPr>
                <w:rFonts w:cstheme="minorHAnsi"/>
                <w:sz w:val="24"/>
                <w:szCs w:val="24"/>
              </w:rPr>
              <w:t>W formułowaniu tych ustaleń i rekomendacji proponujemy uwzględnić rozważenie nawiązania współpracy z Krakowem i ewentualnie również innymi gminami sąsiadującymi w zakresie wspólnego planowania przestrzennego uwzględniającego zrównoważony rozwój budownictwa mieszkaniowego i mieszkalnictwa.</w:t>
            </w:r>
          </w:p>
        </w:tc>
        <w:tc>
          <w:tcPr>
            <w:tcW w:w="1701" w:type="dxa"/>
          </w:tcPr>
          <w:p w14:paraId="2A1CF062" w14:textId="686E5E5E" w:rsidR="00D02913" w:rsidRPr="00244C66" w:rsidRDefault="00D02913" w:rsidP="00D02913">
            <w:pPr>
              <w:jc w:val="left"/>
              <w:rPr>
                <w:rFonts w:cstheme="minorHAnsi"/>
                <w:sz w:val="24"/>
                <w:szCs w:val="24"/>
              </w:rPr>
            </w:pPr>
            <w:r w:rsidRPr="00244C66">
              <w:rPr>
                <w:rFonts w:cstheme="minorHAnsi"/>
                <w:sz w:val="24"/>
                <w:szCs w:val="24"/>
              </w:rPr>
              <w:t>Wydział Strategii, Planowania i Monitorowania Inwestycji w im. Urzędu Miasta Krakowa</w:t>
            </w:r>
          </w:p>
        </w:tc>
        <w:tc>
          <w:tcPr>
            <w:tcW w:w="2517" w:type="dxa"/>
          </w:tcPr>
          <w:p w14:paraId="333EBBB1" w14:textId="1D246677" w:rsidR="00D02913" w:rsidRPr="00244C66" w:rsidRDefault="00D02913" w:rsidP="00D02913">
            <w:pPr>
              <w:jc w:val="left"/>
              <w:rPr>
                <w:rFonts w:cstheme="minorHAnsi"/>
                <w:sz w:val="24"/>
                <w:szCs w:val="24"/>
              </w:rPr>
            </w:pPr>
            <w:r w:rsidRPr="00244C66">
              <w:rPr>
                <w:rFonts w:cstheme="minorHAnsi"/>
                <w:sz w:val="24"/>
                <w:szCs w:val="24"/>
              </w:rPr>
              <w:t>Uwagę przyjmuje się za zasadną.</w:t>
            </w:r>
            <w:r w:rsidR="00194EFD" w:rsidRPr="00244C66">
              <w:rPr>
                <w:rFonts w:cstheme="minorHAnsi"/>
                <w:sz w:val="24"/>
                <w:szCs w:val="24"/>
              </w:rPr>
              <w:t xml:space="preserve"> Dodano działanie „3.4.6. Współpraca z Krakowem i sąsiednimi </w:t>
            </w:r>
            <w:r w:rsidR="00C56293" w:rsidRPr="00244C66">
              <w:rPr>
                <w:rFonts w:cstheme="minorHAnsi"/>
                <w:sz w:val="24"/>
                <w:szCs w:val="24"/>
              </w:rPr>
              <w:t>gminami</w:t>
            </w:r>
            <w:r w:rsidR="00194EFD" w:rsidRPr="00244C66">
              <w:rPr>
                <w:rFonts w:cstheme="minorHAnsi"/>
                <w:sz w:val="24"/>
                <w:szCs w:val="24"/>
              </w:rPr>
              <w:t xml:space="preserve"> w zakresie wspólnego planowania przestrzennego.”</w:t>
            </w:r>
          </w:p>
        </w:tc>
      </w:tr>
      <w:tr w:rsidR="00D02913" w:rsidRPr="00244C66" w14:paraId="73C278E9" w14:textId="77777777" w:rsidTr="00D76FBC">
        <w:tc>
          <w:tcPr>
            <w:tcW w:w="495" w:type="dxa"/>
          </w:tcPr>
          <w:p w14:paraId="5D8BFC51" w14:textId="6FEBEFD8" w:rsidR="00D02913" w:rsidRPr="00244C66" w:rsidRDefault="00D02913" w:rsidP="00D02913">
            <w:pPr>
              <w:jc w:val="center"/>
              <w:rPr>
                <w:rFonts w:cstheme="minorHAnsi"/>
                <w:sz w:val="24"/>
                <w:szCs w:val="24"/>
              </w:rPr>
            </w:pPr>
            <w:r w:rsidRPr="00244C66">
              <w:rPr>
                <w:rFonts w:cstheme="minorHAnsi"/>
                <w:sz w:val="24"/>
                <w:szCs w:val="24"/>
              </w:rPr>
              <w:t>20.</w:t>
            </w:r>
          </w:p>
        </w:tc>
        <w:tc>
          <w:tcPr>
            <w:tcW w:w="4575" w:type="dxa"/>
          </w:tcPr>
          <w:p w14:paraId="0BD7F572" w14:textId="77777777" w:rsidR="00D02913" w:rsidRPr="00244C66" w:rsidRDefault="00D02913" w:rsidP="00D02913">
            <w:pPr>
              <w:jc w:val="left"/>
              <w:rPr>
                <w:rFonts w:cstheme="minorHAnsi"/>
                <w:sz w:val="24"/>
                <w:szCs w:val="24"/>
              </w:rPr>
            </w:pPr>
            <w:r w:rsidRPr="00244C66">
              <w:rPr>
                <w:rFonts w:cstheme="minorHAnsi"/>
                <w:sz w:val="24"/>
                <w:szCs w:val="24"/>
              </w:rPr>
              <w:t>Str.15; str. 29</w:t>
            </w:r>
          </w:p>
          <w:p w14:paraId="4FCF0CC6" w14:textId="77777777" w:rsidR="00D02913" w:rsidRPr="00244C66" w:rsidRDefault="00D02913" w:rsidP="00D02913">
            <w:pPr>
              <w:jc w:val="left"/>
              <w:rPr>
                <w:rFonts w:cstheme="minorHAnsi"/>
                <w:sz w:val="24"/>
                <w:szCs w:val="24"/>
              </w:rPr>
            </w:pPr>
            <w:r w:rsidRPr="00244C66">
              <w:rPr>
                <w:rFonts w:cstheme="minorHAnsi"/>
                <w:sz w:val="24"/>
                <w:szCs w:val="24"/>
              </w:rPr>
              <w:lastRenderedPageBreak/>
              <w:t>Uwzględnienie w ramach priorytetu 1.1. działań związanych z poprawą jakości powietrza w Gminie, udostępnienia danych dot. jakości powietrza w formie otwartych danych.</w:t>
            </w:r>
          </w:p>
          <w:p w14:paraId="5E5B88E3" w14:textId="59CF707E" w:rsidR="00D02913" w:rsidRPr="00244C66" w:rsidRDefault="00D02913" w:rsidP="00D02913">
            <w:pPr>
              <w:jc w:val="left"/>
              <w:rPr>
                <w:rFonts w:cstheme="minorHAnsi"/>
                <w:sz w:val="24"/>
                <w:szCs w:val="24"/>
              </w:rPr>
            </w:pPr>
            <w:r w:rsidRPr="00244C66">
              <w:rPr>
                <w:rFonts w:cstheme="minorHAnsi"/>
                <w:sz w:val="24"/>
                <w:szCs w:val="24"/>
              </w:rPr>
              <w:t>Pozwoli to na wykorzystanie danych o jakości powietrza w korelacji z danymi z gmin ościennych i ich wykorzystanie w zakresie analiz realizowanych w ramach planowanego rozwoju Smart City w Gminie Miejskiej Kraków – analiza jakości powietrza w Gminie Miejskiej Kraków skorelowana z jakością powietrza w tzw. „krakowskim obwarzanku”.</w:t>
            </w:r>
          </w:p>
        </w:tc>
        <w:tc>
          <w:tcPr>
            <w:tcW w:w="1701" w:type="dxa"/>
          </w:tcPr>
          <w:p w14:paraId="789F6805" w14:textId="6ED95CE4" w:rsidR="00D02913" w:rsidRPr="00244C66" w:rsidRDefault="00D02913" w:rsidP="00D02913">
            <w:pPr>
              <w:jc w:val="left"/>
              <w:rPr>
                <w:rFonts w:cstheme="minorHAnsi"/>
                <w:sz w:val="24"/>
                <w:szCs w:val="24"/>
              </w:rPr>
            </w:pPr>
            <w:r w:rsidRPr="00244C66">
              <w:rPr>
                <w:rFonts w:cstheme="minorHAnsi"/>
                <w:sz w:val="24"/>
                <w:szCs w:val="24"/>
              </w:rPr>
              <w:lastRenderedPageBreak/>
              <w:t xml:space="preserve">Wydział </w:t>
            </w:r>
            <w:r w:rsidRPr="00244C66">
              <w:rPr>
                <w:rFonts w:cstheme="minorHAnsi"/>
                <w:sz w:val="24"/>
                <w:szCs w:val="24"/>
              </w:rPr>
              <w:lastRenderedPageBreak/>
              <w:t>Strategii, Planowania i Monitorowania Inwestycji w im. Urzędu Miasta Krakowa</w:t>
            </w:r>
          </w:p>
        </w:tc>
        <w:tc>
          <w:tcPr>
            <w:tcW w:w="2517" w:type="dxa"/>
          </w:tcPr>
          <w:p w14:paraId="166675D0" w14:textId="1445AA03" w:rsidR="00D02913" w:rsidRPr="00244C66" w:rsidRDefault="00D02913" w:rsidP="00D02913">
            <w:pPr>
              <w:jc w:val="left"/>
              <w:rPr>
                <w:rFonts w:cstheme="minorHAnsi"/>
                <w:sz w:val="24"/>
                <w:szCs w:val="24"/>
              </w:rPr>
            </w:pPr>
            <w:r w:rsidRPr="00244C66">
              <w:rPr>
                <w:rFonts w:cstheme="minorHAnsi"/>
                <w:sz w:val="24"/>
                <w:szCs w:val="24"/>
              </w:rPr>
              <w:lastRenderedPageBreak/>
              <w:t xml:space="preserve">Uwagę przyjmuje się za </w:t>
            </w:r>
            <w:r w:rsidRPr="00244C66">
              <w:rPr>
                <w:rFonts w:cstheme="minorHAnsi"/>
                <w:sz w:val="24"/>
                <w:szCs w:val="24"/>
              </w:rPr>
              <w:lastRenderedPageBreak/>
              <w:t>zasadną.</w:t>
            </w:r>
            <w:r w:rsidR="000F64A0" w:rsidRPr="00244C66">
              <w:rPr>
                <w:rFonts w:cstheme="minorHAnsi"/>
                <w:sz w:val="24"/>
                <w:szCs w:val="24"/>
              </w:rPr>
              <w:t xml:space="preserve"> Rozwinięto treść działania „1.1.4. Prowadzenie edukacji ekologicznej wśród mieszkańców gminy, w tym udostępnienia danych dot. jakości powietrza w formie otwartych danych.”</w:t>
            </w:r>
          </w:p>
        </w:tc>
      </w:tr>
      <w:tr w:rsidR="0043556C" w:rsidRPr="00244C66" w14:paraId="02D99B9C" w14:textId="77777777" w:rsidTr="00D76FBC">
        <w:tc>
          <w:tcPr>
            <w:tcW w:w="495" w:type="dxa"/>
          </w:tcPr>
          <w:p w14:paraId="06A5865F" w14:textId="30833D12" w:rsidR="0043556C" w:rsidRPr="00244C66" w:rsidRDefault="0043556C" w:rsidP="0043556C">
            <w:pPr>
              <w:jc w:val="center"/>
              <w:rPr>
                <w:rFonts w:cstheme="minorHAnsi"/>
                <w:sz w:val="24"/>
                <w:szCs w:val="24"/>
              </w:rPr>
            </w:pPr>
            <w:r w:rsidRPr="00244C66">
              <w:rPr>
                <w:rFonts w:cstheme="minorHAnsi"/>
                <w:sz w:val="24"/>
                <w:szCs w:val="24"/>
              </w:rPr>
              <w:lastRenderedPageBreak/>
              <w:t>21.</w:t>
            </w:r>
          </w:p>
        </w:tc>
        <w:tc>
          <w:tcPr>
            <w:tcW w:w="4575" w:type="dxa"/>
          </w:tcPr>
          <w:p w14:paraId="582BC8E5" w14:textId="77777777" w:rsidR="0043556C" w:rsidRPr="00244C66" w:rsidRDefault="0043556C" w:rsidP="0043556C">
            <w:pPr>
              <w:jc w:val="left"/>
              <w:rPr>
                <w:rFonts w:cstheme="minorHAnsi"/>
                <w:sz w:val="24"/>
                <w:szCs w:val="24"/>
              </w:rPr>
            </w:pPr>
            <w:r w:rsidRPr="00244C66">
              <w:rPr>
                <w:rFonts w:cstheme="minorHAnsi"/>
                <w:sz w:val="24"/>
                <w:szCs w:val="24"/>
              </w:rPr>
              <w:t>Uwaga ogólna do projektu.</w:t>
            </w:r>
          </w:p>
          <w:p w14:paraId="6A74BD42" w14:textId="77777777" w:rsidR="0043556C" w:rsidRPr="00244C66" w:rsidRDefault="0043556C" w:rsidP="0043556C">
            <w:pPr>
              <w:jc w:val="left"/>
              <w:rPr>
                <w:rFonts w:cstheme="minorHAnsi"/>
                <w:sz w:val="24"/>
                <w:szCs w:val="24"/>
              </w:rPr>
            </w:pPr>
            <w:r w:rsidRPr="00244C66">
              <w:rPr>
                <w:rFonts w:cstheme="minorHAnsi"/>
                <w:sz w:val="24"/>
                <w:szCs w:val="24"/>
              </w:rPr>
              <w:t xml:space="preserve">Dokument nie zawiera wprost wzmianki o obszarze działania Gminy, jakim jest e-Administracja. W szczególności brak jest odniesienia do usług świadczonych przez Gminę drogą elektroniczną. Dokument zawiera odniesienie do formularzowej usługi elektronicznej na stronie 17-tej „-  kontrole  palenisk  domowych  oraz  uruchomienie  możliwości  zgłaszania  naruszeń  poprzez formularz </w:t>
            </w:r>
            <w:proofErr w:type="spellStart"/>
            <w:r w:rsidRPr="00244C66">
              <w:rPr>
                <w:rFonts w:cstheme="minorHAnsi"/>
                <w:sz w:val="24"/>
                <w:szCs w:val="24"/>
              </w:rPr>
              <w:t>Ekointerwencji</w:t>
            </w:r>
            <w:proofErr w:type="spellEnd"/>
            <w:r w:rsidRPr="00244C66">
              <w:rPr>
                <w:rFonts w:cstheme="minorHAnsi"/>
                <w:sz w:val="24"/>
                <w:szCs w:val="24"/>
              </w:rPr>
              <w:t>, mailowo i telefonicznie”.</w:t>
            </w:r>
          </w:p>
          <w:p w14:paraId="1B8D8264" w14:textId="77777777" w:rsidR="0043556C" w:rsidRPr="00244C66" w:rsidRDefault="0043556C" w:rsidP="0043556C">
            <w:pPr>
              <w:jc w:val="left"/>
              <w:rPr>
                <w:rFonts w:cstheme="minorHAnsi"/>
                <w:sz w:val="24"/>
                <w:szCs w:val="24"/>
              </w:rPr>
            </w:pPr>
            <w:r w:rsidRPr="00244C66">
              <w:rPr>
                <w:rFonts w:cstheme="minorHAnsi"/>
                <w:sz w:val="24"/>
                <w:szCs w:val="24"/>
              </w:rPr>
              <w:t>Możliwe, iż ten obszar działania Gminy został „nie wprost” objęty niektórymi zapisami odnoszącymi się do „usług publicznych” – np. (str.7)</w:t>
            </w:r>
          </w:p>
          <w:p w14:paraId="1ED00202" w14:textId="77777777" w:rsidR="0043556C" w:rsidRPr="00244C66" w:rsidRDefault="0043556C" w:rsidP="0043556C">
            <w:pPr>
              <w:jc w:val="left"/>
              <w:rPr>
                <w:rFonts w:cstheme="minorHAnsi"/>
                <w:sz w:val="24"/>
                <w:szCs w:val="24"/>
              </w:rPr>
            </w:pPr>
            <w:r w:rsidRPr="00244C66">
              <w:rPr>
                <w:rFonts w:cstheme="minorHAnsi"/>
                <w:sz w:val="24"/>
                <w:szCs w:val="24"/>
              </w:rPr>
              <w:t xml:space="preserve">„Zjawiska związane ze zwiększaniem się liczby mieszkańców gminy są bardzo korzystne dla samorządu lokalnego, bo oznaczają wzrost dochodów podatkowych, decydują o korzystniejszej na tle kraju strukturze demograficznej, wpływają na poprawę jakości i dostępności zasobów mieszkaniowych. Jednocześnie te zjawiska są istotnym wyzwaniem, przede wszystkim w zakresie zapewnienia odpowiedniej jakości i dostępności usług publicznych, jak też rozwoju infrastrukturalnego gminy oraz zrównoważonego rozwoju w wymiarze </w:t>
            </w:r>
            <w:r w:rsidRPr="00244C66">
              <w:rPr>
                <w:rFonts w:cstheme="minorHAnsi"/>
                <w:sz w:val="24"/>
                <w:szCs w:val="24"/>
              </w:rPr>
              <w:lastRenderedPageBreak/>
              <w:t>środowiskowym.”; (str.8)</w:t>
            </w:r>
          </w:p>
          <w:p w14:paraId="2CE9CBBD" w14:textId="77777777" w:rsidR="0043556C" w:rsidRPr="00244C66" w:rsidRDefault="0043556C" w:rsidP="0043556C">
            <w:pPr>
              <w:jc w:val="left"/>
              <w:rPr>
                <w:rFonts w:cstheme="minorHAnsi"/>
                <w:sz w:val="24"/>
                <w:szCs w:val="24"/>
              </w:rPr>
            </w:pPr>
            <w:r w:rsidRPr="00244C66">
              <w:rPr>
                <w:rFonts w:cstheme="minorHAnsi"/>
                <w:sz w:val="24"/>
                <w:szCs w:val="24"/>
              </w:rPr>
              <w:t>„Dynamiczne zmiany jakie zachodzą w przestrzeni gminy Świątniki Górne wymuszają podejmowania dalszych działań w zakresie kształtowania i rozwijania usług publicznych.”; (str.21)</w:t>
            </w:r>
          </w:p>
          <w:p w14:paraId="2039D04D" w14:textId="77777777" w:rsidR="0043556C" w:rsidRPr="00244C66" w:rsidRDefault="0043556C" w:rsidP="0043556C">
            <w:pPr>
              <w:jc w:val="left"/>
              <w:rPr>
                <w:rFonts w:cstheme="minorHAnsi"/>
                <w:sz w:val="24"/>
                <w:szCs w:val="24"/>
              </w:rPr>
            </w:pPr>
            <w:r w:rsidRPr="00244C66">
              <w:rPr>
                <w:rFonts w:cstheme="minorHAnsi"/>
                <w:sz w:val="24"/>
                <w:szCs w:val="24"/>
              </w:rPr>
              <w:t>„Napływ nowych mieszkańców wpływa na konieczność dostosowania infrastruktury i usług publicznych gminy.”</w:t>
            </w:r>
          </w:p>
          <w:p w14:paraId="1720AA94" w14:textId="596AE2EE" w:rsidR="0043556C" w:rsidRPr="00244C66" w:rsidRDefault="0043556C" w:rsidP="0043556C">
            <w:pPr>
              <w:jc w:val="left"/>
              <w:rPr>
                <w:rFonts w:cstheme="minorHAnsi"/>
                <w:sz w:val="24"/>
                <w:szCs w:val="24"/>
              </w:rPr>
            </w:pPr>
            <w:r w:rsidRPr="00244C66">
              <w:rPr>
                <w:rFonts w:cstheme="minorHAnsi"/>
                <w:sz w:val="24"/>
                <w:szCs w:val="24"/>
              </w:rPr>
              <w:t>Proponuje się uwzględnienie wnioskowanej uwagi przez Autorów poprzez oddzielne odniesienie się w dokumencie do problematyki e-Administracji (w tym e-Usług), w związku z istnieniem Portalu interesanta na stronie Gminy (https://eurzad.swiatniki-gorne.pl/EUrzad), który wskazuje na podjęte konkretne działania Gminy Świątniki w tym obszarze.</w:t>
            </w:r>
          </w:p>
        </w:tc>
        <w:tc>
          <w:tcPr>
            <w:tcW w:w="1701" w:type="dxa"/>
          </w:tcPr>
          <w:p w14:paraId="5B3CAEDB" w14:textId="00FB790A" w:rsidR="0043556C" w:rsidRPr="00244C66" w:rsidRDefault="0043556C" w:rsidP="0043556C">
            <w:pPr>
              <w:jc w:val="left"/>
              <w:rPr>
                <w:rFonts w:cstheme="minorHAnsi"/>
                <w:sz w:val="24"/>
                <w:szCs w:val="24"/>
              </w:rPr>
            </w:pPr>
            <w:r w:rsidRPr="00244C66">
              <w:rPr>
                <w:rFonts w:cstheme="minorHAnsi"/>
                <w:sz w:val="24"/>
                <w:szCs w:val="24"/>
              </w:rPr>
              <w:lastRenderedPageBreak/>
              <w:t>Wydział Strategii, Planowania i Monitorowania Inwestycji w im. Urzędu Miasta Krakowa</w:t>
            </w:r>
          </w:p>
        </w:tc>
        <w:tc>
          <w:tcPr>
            <w:tcW w:w="2517" w:type="dxa"/>
          </w:tcPr>
          <w:p w14:paraId="420CDF26" w14:textId="187BB4FB" w:rsidR="0043556C" w:rsidRPr="00244C66" w:rsidRDefault="0043556C" w:rsidP="0043556C">
            <w:pPr>
              <w:jc w:val="left"/>
              <w:rPr>
                <w:rFonts w:cstheme="minorHAnsi"/>
                <w:sz w:val="24"/>
                <w:szCs w:val="24"/>
              </w:rPr>
            </w:pPr>
            <w:r w:rsidRPr="00244C66">
              <w:rPr>
                <w:rFonts w:cstheme="minorHAnsi"/>
                <w:sz w:val="24"/>
                <w:szCs w:val="24"/>
              </w:rPr>
              <w:t>Uwagę przyjmuje się za zasadną.</w:t>
            </w:r>
            <w:r w:rsidR="006A2A0E" w:rsidRPr="00244C66">
              <w:rPr>
                <w:rFonts w:cstheme="minorHAnsi"/>
                <w:sz w:val="24"/>
                <w:szCs w:val="24"/>
              </w:rPr>
              <w:t xml:space="preserve"> Dodano działanie „3.4.7. Rozwój i poprawa funkcjonalności platformy elektronicznych usług administracji publicznej tzw. „Portalu Interesanta”.</w:t>
            </w:r>
          </w:p>
        </w:tc>
      </w:tr>
      <w:tr w:rsidR="0043556C" w:rsidRPr="00244C66" w14:paraId="387ECCE6" w14:textId="77777777" w:rsidTr="00D76FBC">
        <w:tc>
          <w:tcPr>
            <w:tcW w:w="495" w:type="dxa"/>
          </w:tcPr>
          <w:p w14:paraId="71336B3D" w14:textId="687120D8" w:rsidR="0043556C" w:rsidRPr="00244C66" w:rsidRDefault="0043556C" w:rsidP="0043556C">
            <w:pPr>
              <w:jc w:val="center"/>
              <w:rPr>
                <w:rFonts w:cstheme="minorHAnsi"/>
                <w:sz w:val="24"/>
                <w:szCs w:val="24"/>
              </w:rPr>
            </w:pPr>
            <w:r w:rsidRPr="00244C66">
              <w:rPr>
                <w:rFonts w:cstheme="minorHAnsi"/>
                <w:sz w:val="24"/>
                <w:szCs w:val="24"/>
              </w:rPr>
              <w:t>22.</w:t>
            </w:r>
          </w:p>
        </w:tc>
        <w:tc>
          <w:tcPr>
            <w:tcW w:w="4575" w:type="dxa"/>
          </w:tcPr>
          <w:p w14:paraId="379B707C" w14:textId="77777777" w:rsidR="0043556C" w:rsidRPr="00244C66" w:rsidRDefault="0043556C" w:rsidP="0043556C">
            <w:pPr>
              <w:jc w:val="left"/>
              <w:rPr>
                <w:rFonts w:cstheme="minorHAnsi"/>
                <w:sz w:val="24"/>
                <w:szCs w:val="24"/>
              </w:rPr>
            </w:pPr>
            <w:r w:rsidRPr="00244C66">
              <w:rPr>
                <w:rFonts w:cstheme="minorHAnsi"/>
                <w:sz w:val="24"/>
                <w:szCs w:val="24"/>
              </w:rPr>
              <w:t>Uwaga ogólna do projektu.</w:t>
            </w:r>
          </w:p>
          <w:p w14:paraId="0C3CC77D" w14:textId="77777777" w:rsidR="0043556C" w:rsidRPr="00244C66" w:rsidRDefault="0043556C" w:rsidP="0043556C">
            <w:pPr>
              <w:jc w:val="left"/>
              <w:rPr>
                <w:rFonts w:cstheme="minorHAnsi"/>
                <w:sz w:val="24"/>
                <w:szCs w:val="24"/>
              </w:rPr>
            </w:pPr>
            <w:r w:rsidRPr="00244C66">
              <w:rPr>
                <w:rFonts w:cstheme="minorHAnsi"/>
                <w:sz w:val="24"/>
                <w:szCs w:val="24"/>
              </w:rPr>
              <w:t>W Strategii Rozwoju Gminy Świątniki Górne brak jest zapisów dotyczących rozwoju BIP oraz zagadnień dot. udostępniania informacji publicznej.</w:t>
            </w:r>
          </w:p>
          <w:p w14:paraId="5CA5EC83" w14:textId="1B1BCECC" w:rsidR="0043556C" w:rsidRPr="00244C66" w:rsidRDefault="0043556C" w:rsidP="0043556C">
            <w:pPr>
              <w:jc w:val="left"/>
              <w:rPr>
                <w:rFonts w:cstheme="minorHAnsi"/>
                <w:sz w:val="24"/>
                <w:szCs w:val="24"/>
              </w:rPr>
            </w:pPr>
            <w:r w:rsidRPr="00244C66">
              <w:rPr>
                <w:rFonts w:cstheme="minorHAnsi"/>
                <w:sz w:val="24"/>
                <w:szCs w:val="24"/>
              </w:rPr>
              <w:t>Warto uwzględnić większe zainteresowanie oraz potrzeby społeczeństwa w zakresie szybkiego i sprawnego dostępu do informacji publicznej, rozwój technologiczny i zwiększające się obowiązki związane z publikacją informacji w BIP zasadnym wydaje się uzupełnienie ww. Dokument Strategii o działania rozwojowe w obszarze udostępniania informacji publicznej.</w:t>
            </w:r>
          </w:p>
        </w:tc>
        <w:tc>
          <w:tcPr>
            <w:tcW w:w="1701" w:type="dxa"/>
          </w:tcPr>
          <w:p w14:paraId="646F36FA" w14:textId="7D88E955" w:rsidR="0043556C" w:rsidRPr="00244C66" w:rsidRDefault="0043556C" w:rsidP="0043556C">
            <w:pPr>
              <w:jc w:val="left"/>
              <w:rPr>
                <w:rFonts w:cstheme="minorHAnsi"/>
                <w:sz w:val="24"/>
                <w:szCs w:val="24"/>
              </w:rPr>
            </w:pPr>
            <w:r w:rsidRPr="00244C66">
              <w:rPr>
                <w:rFonts w:cstheme="minorHAnsi"/>
                <w:sz w:val="24"/>
                <w:szCs w:val="24"/>
              </w:rPr>
              <w:t>Wydział Strategii, Planowania i Monitorowania Inwestycji w im. Urzędu Miasta Krakowa</w:t>
            </w:r>
          </w:p>
        </w:tc>
        <w:tc>
          <w:tcPr>
            <w:tcW w:w="2517" w:type="dxa"/>
          </w:tcPr>
          <w:p w14:paraId="13A52071" w14:textId="1F5CCC19" w:rsidR="005972DD" w:rsidRPr="00244C66" w:rsidRDefault="0043556C" w:rsidP="005972DD">
            <w:pPr>
              <w:jc w:val="left"/>
              <w:rPr>
                <w:rFonts w:cstheme="minorHAnsi"/>
                <w:sz w:val="24"/>
                <w:szCs w:val="24"/>
              </w:rPr>
            </w:pPr>
            <w:r w:rsidRPr="00244C66">
              <w:rPr>
                <w:rFonts w:cstheme="minorHAnsi"/>
                <w:sz w:val="24"/>
                <w:szCs w:val="24"/>
              </w:rPr>
              <w:t>Uwagę przyjmuje się za zasadną.</w:t>
            </w:r>
            <w:r w:rsidR="005972DD" w:rsidRPr="00244C66">
              <w:rPr>
                <w:rFonts w:cstheme="minorHAnsi"/>
                <w:sz w:val="24"/>
                <w:szCs w:val="24"/>
              </w:rPr>
              <w:t xml:space="preserve"> Rozwinięto treść działania „3.4.1. Wzmocnienie technologiczne oraz informatyczne administracji samorządowej, sprzyjające rozwojowi </w:t>
            </w:r>
          </w:p>
          <w:p w14:paraId="199D0969" w14:textId="6344DB57" w:rsidR="0043556C" w:rsidRPr="00244C66" w:rsidRDefault="005972DD" w:rsidP="005972DD">
            <w:pPr>
              <w:jc w:val="left"/>
              <w:rPr>
                <w:rFonts w:cstheme="minorHAnsi"/>
                <w:sz w:val="24"/>
                <w:szCs w:val="24"/>
              </w:rPr>
            </w:pPr>
            <w:r w:rsidRPr="00244C66">
              <w:rPr>
                <w:rFonts w:cstheme="minorHAnsi"/>
                <w:sz w:val="24"/>
                <w:szCs w:val="24"/>
              </w:rPr>
              <w:t>e-usług oraz rozwiązań inteligentnych w oparciu o otwarte dane i dostęp do informacji publicznej.”</w:t>
            </w:r>
          </w:p>
        </w:tc>
      </w:tr>
      <w:tr w:rsidR="00287E48" w:rsidRPr="00244C66" w14:paraId="6A1307C7" w14:textId="77777777" w:rsidTr="00D76FBC">
        <w:tc>
          <w:tcPr>
            <w:tcW w:w="495" w:type="dxa"/>
          </w:tcPr>
          <w:p w14:paraId="73875F87" w14:textId="46C1FCCE" w:rsidR="00287E48" w:rsidRPr="00244C66" w:rsidRDefault="0043556C" w:rsidP="0004657D">
            <w:pPr>
              <w:jc w:val="center"/>
              <w:rPr>
                <w:rFonts w:cstheme="minorHAnsi"/>
                <w:sz w:val="24"/>
                <w:szCs w:val="24"/>
              </w:rPr>
            </w:pPr>
            <w:r w:rsidRPr="00244C66">
              <w:rPr>
                <w:rFonts w:cstheme="minorHAnsi"/>
                <w:sz w:val="24"/>
                <w:szCs w:val="24"/>
              </w:rPr>
              <w:t>23.</w:t>
            </w:r>
          </w:p>
        </w:tc>
        <w:tc>
          <w:tcPr>
            <w:tcW w:w="4575" w:type="dxa"/>
          </w:tcPr>
          <w:p w14:paraId="2B68C54A" w14:textId="57D3CEAF" w:rsidR="00287E48" w:rsidRPr="00244C66" w:rsidRDefault="00E4429E" w:rsidP="0004657D">
            <w:pPr>
              <w:jc w:val="left"/>
              <w:rPr>
                <w:rFonts w:cstheme="minorHAnsi"/>
                <w:sz w:val="24"/>
                <w:szCs w:val="24"/>
              </w:rPr>
            </w:pPr>
            <w:r w:rsidRPr="00244C66">
              <w:rPr>
                <w:rFonts w:cstheme="minorHAnsi"/>
                <w:sz w:val="24"/>
                <w:szCs w:val="24"/>
              </w:rPr>
              <w:t xml:space="preserve">Na podstawie map zagrożenia powodziowego dostępnych na </w:t>
            </w:r>
            <w:proofErr w:type="spellStart"/>
            <w:r w:rsidRPr="00244C66">
              <w:rPr>
                <w:rFonts w:cstheme="minorHAnsi"/>
                <w:sz w:val="24"/>
                <w:szCs w:val="24"/>
              </w:rPr>
              <w:t>Hydroportalu</w:t>
            </w:r>
            <w:proofErr w:type="spellEnd"/>
            <w:r w:rsidRPr="00244C66">
              <w:rPr>
                <w:rFonts w:cstheme="minorHAnsi"/>
                <w:sz w:val="24"/>
                <w:szCs w:val="24"/>
              </w:rPr>
              <w:t xml:space="preserve"> Państwowego Gospodarstwa Wodnego Wody Polskie stwierdzono, że </w:t>
            </w:r>
            <w:bookmarkStart w:id="2" w:name="_Hlk85801977"/>
            <w:r w:rsidRPr="00244C66">
              <w:rPr>
                <w:rFonts w:cstheme="minorHAnsi"/>
                <w:sz w:val="24"/>
                <w:szCs w:val="24"/>
              </w:rPr>
              <w:t xml:space="preserve">na terenie gminy Świątniki Górne występują obszary szczególnego zagrożenia powodzią od rzeki Wilgi, na których prawdopodobieństwo wystąpienia powodzi jest średnie i wynosi raz na 100 lat (Q1%) oraz obszary szczególnego zagrożenia powodzią, na których prawdopodobieństwo </w:t>
            </w:r>
            <w:r w:rsidRPr="00244C66">
              <w:rPr>
                <w:rFonts w:cstheme="minorHAnsi"/>
                <w:sz w:val="24"/>
                <w:szCs w:val="24"/>
              </w:rPr>
              <w:lastRenderedPageBreak/>
              <w:t xml:space="preserve">wystąpienia powodzią jest wysokie i wynosi raz na 10 lat (Q10%). Ponadto na terenie gminy występują obszary, na prawdopodobieństwo wystąpienia powodzi jest niskie i wynosi 0,2%. </w:t>
            </w:r>
            <w:bookmarkEnd w:id="2"/>
            <w:r w:rsidRPr="00244C66">
              <w:rPr>
                <w:rFonts w:cstheme="minorHAnsi"/>
                <w:sz w:val="24"/>
                <w:szCs w:val="24"/>
              </w:rPr>
              <w:t xml:space="preserve">W przedłożonym projekcie Strategii brak jest informacji w zakresie tych obszarów. Zwracamy uwagę, iż </w:t>
            </w:r>
            <w:bookmarkStart w:id="3" w:name="_Hlk85802035"/>
            <w:r w:rsidRPr="00244C66">
              <w:rPr>
                <w:rFonts w:cstheme="minorHAnsi"/>
                <w:sz w:val="24"/>
                <w:szCs w:val="24"/>
              </w:rPr>
              <w:t>zgodnie z art. 166 pkt 10 ustawy Prawo wodne, planowane zagospodarowanie terenów położonych w obszarach szczególnego zagrożenia powodzią nie może naruszać ustaleń planu zarządzania ryzykiem powodziowym, stanowić zagrożenia dla ochrony zdrowia ludzi czy też utrudniać zarządzania ryzykiem powodziowym.</w:t>
            </w:r>
            <w:bookmarkEnd w:id="3"/>
          </w:p>
        </w:tc>
        <w:tc>
          <w:tcPr>
            <w:tcW w:w="1701" w:type="dxa"/>
          </w:tcPr>
          <w:p w14:paraId="6D657C79" w14:textId="13ED3069" w:rsidR="00287E48" w:rsidRPr="00244C66" w:rsidRDefault="0043556C" w:rsidP="0004657D">
            <w:pPr>
              <w:jc w:val="left"/>
              <w:rPr>
                <w:rFonts w:cstheme="minorHAnsi"/>
                <w:sz w:val="24"/>
                <w:szCs w:val="24"/>
              </w:rPr>
            </w:pPr>
            <w:r w:rsidRPr="00244C66">
              <w:rPr>
                <w:rFonts w:cstheme="minorHAnsi"/>
                <w:sz w:val="24"/>
                <w:szCs w:val="24"/>
              </w:rPr>
              <w:lastRenderedPageBreak/>
              <w:t>Państwowe Gospodarstwo Wodne Wody Polskie</w:t>
            </w:r>
          </w:p>
        </w:tc>
        <w:tc>
          <w:tcPr>
            <w:tcW w:w="2517" w:type="dxa"/>
          </w:tcPr>
          <w:p w14:paraId="696530EE" w14:textId="3F7F3DF3" w:rsidR="00287E48" w:rsidRPr="00244C66" w:rsidRDefault="00E4429E" w:rsidP="0004657D">
            <w:pPr>
              <w:jc w:val="left"/>
              <w:rPr>
                <w:rFonts w:cstheme="minorHAnsi"/>
                <w:sz w:val="24"/>
                <w:szCs w:val="24"/>
              </w:rPr>
            </w:pPr>
            <w:r w:rsidRPr="00244C66">
              <w:rPr>
                <w:rFonts w:cstheme="minorHAnsi"/>
                <w:sz w:val="24"/>
                <w:szCs w:val="24"/>
              </w:rPr>
              <w:t>Uwagę przyjmuje się za zasadną.</w:t>
            </w:r>
            <w:r w:rsidR="005972DD" w:rsidRPr="00244C66">
              <w:rPr>
                <w:rFonts w:cstheme="minorHAnsi"/>
                <w:sz w:val="24"/>
                <w:szCs w:val="24"/>
              </w:rPr>
              <w:t xml:space="preserve"> Stosowne zapisy ujęto w rozdziale 6.1. Założenia struktury funkcjonalno-przestrzennej gminy w kontekście ustaleń Strategii Rozwoju Gminy Świątniki Górne do 2030 roku.</w:t>
            </w:r>
          </w:p>
        </w:tc>
      </w:tr>
      <w:tr w:rsidR="00E4429E" w:rsidRPr="00244C66" w14:paraId="34B7CADD" w14:textId="77777777" w:rsidTr="00D76FBC">
        <w:tc>
          <w:tcPr>
            <w:tcW w:w="495" w:type="dxa"/>
          </w:tcPr>
          <w:p w14:paraId="23E36A0D" w14:textId="7278CA5E" w:rsidR="00E4429E" w:rsidRPr="00244C66" w:rsidRDefault="00E4429E" w:rsidP="00E4429E">
            <w:pPr>
              <w:jc w:val="center"/>
              <w:rPr>
                <w:rFonts w:cstheme="minorHAnsi"/>
                <w:sz w:val="24"/>
                <w:szCs w:val="24"/>
              </w:rPr>
            </w:pPr>
            <w:r w:rsidRPr="00244C66">
              <w:rPr>
                <w:rFonts w:cstheme="minorHAnsi"/>
                <w:sz w:val="24"/>
                <w:szCs w:val="24"/>
              </w:rPr>
              <w:t>2</w:t>
            </w:r>
            <w:r w:rsidR="002221CD" w:rsidRPr="00244C66">
              <w:rPr>
                <w:rFonts w:cstheme="minorHAnsi"/>
                <w:sz w:val="24"/>
                <w:szCs w:val="24"/>
              </w:rPr>
              <w:t>4</w:t>
            </w:r>
            <w:r w:rsidRPr="00244C66">
              <w:rPr>
                <w:rFonts w:cstheme="minorHAnsi"/>
                <w:sz w:val="24"/>
                <w:szCs w:val="24"/>
              </w:rPr>
              <w:t>.</w:t>
            </w:r>
          </w:p>
        </w:tc>
        <w:tc>
          <w:tcPr>
            <w:tcW w:w="4575" w:type="dxa"/>
          </w:tcPr>
          <w:p w14:paraId="6668451E" w14:textId="437EE509" w:rsidR="00E4429E" w:rsidRPr="00244C66" w:rsidRDefault="00E4429E" w:rsidP="00E4429E">
            <w:pPr>
              <w:jc w:val="left"/>
              <w:rPr>
                <w:rFonts w:cstheme="minorHAnsi"/>
                <w:sz w:val="24"/>
                <w:szCs w:val="24"/>
              </w:rPr>
            </w:pPr>
            <w:r w:rsidRPr="00244C66">
              <w:rPr>
                <w:rFonts w:cstheme="minorHAnsi"/>
                <w:sz w:val="24"/>
                <w:szCs w:val="24"/>
              </w:rPr>
              <w:t xml:space="preserve">W przedłożonym projekcie Strategii nie odniesiono się do ustaleń wynikających ze strategicznego dokumentu służącemu właściwemu zarządzaniu ryzykiem, tj. Planu Zarządzania Ryzykiem Powodziowym (PZRP), który został przyjęty na mocy rozporządzenia Rady Ministrów z dnia 18 października 2016 r. w sprawie przyjęcia Planu zarządzania ryzykiem powodziowym dla obszaru dorzecza Wisły (Dz. U. z 2016 r. poz. 1841), zachowując ważność zgodnie z art. 555 ust. 2. Ustawy z dnia 20 lipca 2017 r. Prawo Wodne. Co prawda na terenie gminy nie są planowane zadania w ramach PZRP, ale proponuje się, aby w projekcie Strategii zawrzeć zapis, iż zgodnie z obowiązującym PZRP oraz realizowanym obecnie projektem </w:t>
            </w:r>
            <w:proofErr w:type="spellStart"/>
            <w:r w:rsidRPr="00244C66">
              <w:rPr>
                <w:rFonts w:cstheme="minorHAnsi"/>
                <w:sz w:val="24"/>
                <w:szCs w:val="24"/>
              </w:rPr>
              <w:t>aPZRP</w:t>
            </w:r>
            <w:proofErr w:type="spellEnd"/>
            <w:r w:rsidRPr="00244C66">
              <w:rPr>
                <w:rFonts w:cstheme="minorHAnsi"/>
                <w:sz w:val="24"/>
                <w:szCs w:val="24"/>
              </w:rPr>
              <w:t xml:space="preserve"> na terenie gminy Świątniki Górne nie są planowane żadne działania.</w:t>
            </w:r>
          </w:p>
        </w:tc>
        <w:tc>
          <w:tcPr>
            <w:tcW w:w="1701" w:type="dxa"/>
          </w:tcPr>
          <w:p w14:paraId="49308C47" w14:textId="39331565" w:rsidR="00E4429E" w:rsidRPr="00244C66" w:rsidRDefault="00E4429E" w:rsidP="00E4429E">
            <w:pPr>
              <w:jc w:val="left"/>
              <w:rPr>
                <w:rFonts w:cstheme="minorHAnsi"/>
                <w:sz w:val="24"/>
                <w:szCs w:val="24"/>
              </w:rPr>
            </w:pPr>
            <w:r w:rsidRPr="00244C66">
              <w:rPr>
                <w:rFonts w:cstheme="minorHAnsi"/>
                <w:sz w:val="24"/>
                <w:szCs w:val="24"/>
              </w:rPr>
              <w:t>Państwowe Gospodarstwo Wodne Wody Polskie</w:t>
            </w:r>
          </w:p>
        </w:tc>
        <w:tc>
          <w:tcPr>
            <w:tcW w:w="2517" w:type="dxa"/>
          </w:tcPr>
          <w:p w14:paraId="66826DB6" w14:textId="74B1AA4B" w:rsidR="00E4429E" w:rsidRPr="00244C66" w:rsidRDefault="005972DD" w:rsidP="00E4429E">
            <w:pPr>
              <w:jc w:val="left"/>
              <w:rPr>
                <w:rFonts w:cstheme="minorHAnsi"/>
                <w:sz w:val="24"/>
                <w:szCs w:val="24"/>
              </w:rPr>
            </w:pPr>
            <w:r w:rsidRPr="00244C66">
              <w:rPr>
                <w:rFonts w:cstheme="minorHAnsi"/>
                <w:sz w:val="24"/>
                <w:szCs w:val="24"/>
              </w:rPr>
              <w:t>Uwagę przyjmuje się za zasadną. Stosowne zapisy ujęto w rozdziale 6.1. Założenia struktury funkcjonalno-przestrzennej gminy w kontekście ustaleń Strategii Rozwoju Gminy Świątniki Górne do 2030 roku.</w:t>
            </w:r>
          </w:p>
        </w:tc>
      </w:tr>
      <w:tr w:rsidR="00E4429E" w:rsidRPr="00244C66" w14:paraId="1726E4B3" w14:textId="77777777" w:rsidTr="00D76FBC">
        <w:tc>
          <w:tcPr>
            <w:tcW w:w="495" w:type="dxa"/>
          </w:tcPr>
          <w:p w14:paraId="5E14986F" w14:textId="3D7E62D2" w:rsidR="00E4429E" w:rsidRPr="00244C66" w:rsidRDefault="00E4429E" w:rsidP="00E4429E">
            <w:pPr>
              <w:jc w:val="center"/>
              <w:rPr>
                <w:rFonts w:cstheme="minorHAnsi"/>
                <w:sz w:val="24"/>
                <w:szCs w:val="24"/>
              </w:rPr>
            </w:pPr>
            <w:r w:rsidRPr="00244C66">
              <w:rPr>
                <w:rFonts w:cstheme="minorHAnsi"/>
                <w:sz w:val="24"/>
                <w:szCs w:val="24"/>
              </w:rPr>
              <w:t>2</w:t>
            </w:r>
            <w:r w:rsidR="002221CD" w:rsidRPr="00244C66">
              <w:rPr>
                <w:rFonts w:cstheme="minorHAnsi"/>
                <w:sz w:val="24"/>
                <w:szCs w:val="24"/>
              </w:rPr>
              <w:t>5</w:t>
            </w:r>
            <w:r w:rsidRPr="00244C66">
              <w:rPr>
                <w:rFonts w:cstheme="minorHAnsi"/>
                <w:sz w:val="24"/>
                <w:szCs w:val="24"/>
              </w:rPr>
              <w:t>.</w:t>
            </w:r>
          </w:p>
        </w:tc>
        <w:tc>
          <w:tcPr>
            <w:tcW w:w="4575" w:type="dxa"/>
          </w:tcPr>
          <w:p w14:paraId="0BEDDA5F" w14:textId="77777777" w:rsidR="00E4429E" w:rsidRPr="00244C66" w:rsidRDefault="00E4429E" w:rsidP="00E4429E">
            <w:pPr>
              <w:jc w:val="left"/>
              <w:rPr>
                <w:rFonts w:cstheme="minorHAnsi"/>
                <w:sz w:val="24"/>
                <w:szCs w:val="24"/>
              </w:rPr>
            </w:pPr>
            <w:r w:rsidRPr="00244C66">
              <w:rPr>
                <w:rFonts w:cstheme="minorHAnsi"/>
                <w:sz w:val="24"/>
                <w:szCs w:val="24"/>
              </w:rPr>
              <w:t>W Strategii nie odniesiono się do Planów gospodarowania wodami na obszarach dorzeczy. Informujemy zatem, iż w projekcie Strategii powinny znaleźć się informacje na temat:</w:t>
            </w:r>
          </w:p>
          <w:p w14:paraId="3EDF22E3" w14:textId="6A314FF9" w:rsidR="00E4429E" w:rsidRPr="00244C66" w:rsidRDefault="00E4429E" w:rsidP="00E4429E">
            <w:pPr>
              <w:pStyle w:val="Akapitzlist"/>
              <w:numPr>
                <w:ilvl w:val="0"/>
                <w:numId w:val="5"/>
              </w:numPr>
              <w:jc w:val="left"/>
              <w:rPr>
                <w:rFonts w:cstheme="minorHAnsi"/>
                <w:sz w:val="24"/>
                <w:szCs w:val="24"/>
              </w:rPr>
            </w:pPr>
            <w:r w:rsidRPr="00244C66">
              <w:rPr>
                <w:rFonts w:cstheme="minorHAnsi"/>
                <w:sz w:val="24"/>
                <w:szCs w:val="24"/>
              </w:rPr>
              <w:t>jednolitych części wód powierzchniowych (</w:t>
            </w:r>
            <w:proofErr w:type="spellStart"/>
            <w:r w:rsidRPr="00244C66">
              <w:rPr>
                <w:rFonts w:cstheme="minorHAnsi"/>
                <w:sz w:val="24"/>
                <w:szCs w:val="24"/>
              </w:rPr>
              <w:t>jcwp</w:t>
            </w:r>
            <w:proofErr w:type="spellEnd"/>
            <w:r w:rsidRPr="00244C66">
              <w:rPr>
                <w:rFonts w:cstheme="minorHAnsi"/>
                <w:sz w:val="24"/>
                <w:szCs w:val="24"/>
              </w:rPr>
              <w:t xml:space="preserve">) oraz </w:t>
            </w:r>
            <w:r w:rsidRPr="00244C66">
              <w:rPr>
                <w:rFonts w:cstheme="minorHAnsi"/>
                <w:sz w:val="24"/>
                <w:szCs w:val="24"/>
              </w:rPr>
              <w:lastRenderedPageBreak/>
              <w:t>jednolitych części wód podziemnych (</w:t>
            </w:r>
            <w:proofErr w:type="spellStart"/>
            <w:r w:rsidRPr="00244C66">
              <w:rPr>
                <w:rFonts w:cstheme="minorHAnsi"/>
                <w:sz w:val="24"/>
                <w:szCs w:val="24"/>
              </w:rPr>
              <w:t>jcwpd</w:t>
            </w:r>
            <w:proofErr w:type="spellEnd"/>
            <w:r w:rsidRPr="00244C66">
              <w:rPr>
                <w:rFonts w:cstheme="minorHAnsi"/>
                <w:sz w:val="24"/>
                <w:szCs w:val="24"/>
              </w:rPr>
              <w:t xml:space="preserve">) wydzielonych w granicach gminy (nazwa, status </w:t>
            </w:r>
            <w:proofErr w:type="spellStart"/>
            <w:r w:rsidRPr="00244C66">
              <w:rPr>
                <w:rFonts w:cstheme="minorHAnsi"/>
                <w:sz w:val="24"/>
                <w:szCs w:val="24"/>
              </w:rPr>
              <w:t>jcwp</w:t>
            </w:r>
            <w:proofErr w:type="spellEnd"/>
            <w:r w:rsidRPr="00244C66">
              <w:rPr>
                <w:rFonts w:cstheme="minorHAnsi"/>
                <w:sz w:val="24"/>
                <w:szCs w:val="24"/>
              </w:rPr>
              <w:t xml:space="preserve">, informacje o stanie </w:t>
            </w:r>
            <w:proofErr w:type="spellStart"/>
            <w:r w:rsidRPr="00244C66">
              <w:rPr>
                <w:rFonts w:cstheme="minorHAnsi"/>
                <w:sz w:val="24"/>
                <w:szCs w:val="24"/>
              </w:rPr>
              <w:t>jcwp</w:t>
            </w:r>
            <w:proofErr w:type="spellEnd"/>
            <w:r w:rsidRPr="00244C66">
              <w:rPr>
                <w:rFonts w:cstheme="minorHAnsi"/>
                <w:sz w:val="24"/>
                <w:szCs w:val="24"/>
              </w:rPr>
              <w:t xml:space="preserve"> i </w:t>
            </w:r>
            <w:proofErr w:type="spellStart"/>
            <w:r w:rsidRPr="00244C66">
              <w:rPr>
                <w:rFonts w:cstheme="minorHAnsi"/>
                <w:sz w:val="24"/>
                <w:szCs w:val="24"/>
              </w:rPr>
              <w:t>jcwpd</w:t>
            </w:r>
            <w:proofErr w:type="spellEnd"/>
            <w:r w:rsidRPr="00244C66">
              <w:rPr>
                <w:rFonts w:cstheme="minorHAnsi"/>
                <w:sz w:val="24"/>
                <w:szCs w:val="24"/>
              </w:rPr>
              <w:t xml:space="preserve"> oraz przypisane im cele środowiskowe),</w:t>
            </w:r>
          </w:p>
          <w:p w14:paraId="5728BBA8" w14:textId="2AA55B1B" w:rsidR="00E4429E" w:rsidRPr="00244C66" w:rsidRDefault="00E4429E" w:rsidP="00E4429E">
            <w:pPr>
              <w:pStyle w:val="Akapitzlist"/>
              <w:numPr>
                <w:ilvl w:val="0"/>
                <w:numId w:val="5"/>
              </w:numPr>
              <w:jc w:val="left"/>
              <w:rPr>
                <w:rFonts w:cstheme="minorHAnsi"/>
                <w:sz w:val="24"/>
                <w:szCs w:val="24"/>
              </w:rPr>
            </w:pPr>
            <w:r w:rsidRPr="00244C66">
              <w:rPr>
                <w:rFonts w:cstheme="minorHAnsi"/>
                <w:sz w:val="24"/>
                <w:szCs w:val="24"/>
              </w:rPr>
              <w:t xml:space="preserve">działań przypisanych poszczególnym </w:t>
            </w:r>
            <w:proofErr w:type="spellStart"/>
            <w:r w:rsidRPr="00244C66">
              <w:rPr>
                <w:rFonts w:cstheme="minorHAnsi"/>
                <w:sz w:val="24"/>
                <w:szCs w:val="24"/>
              </w:rPr>
              <w:t>jcwp</w:t>
            </w:r>
            <w:proofErr w:type="spellEnd"/>
            <w:r w:rsidRPr="00244C66">
              <w:rPr>
                <w:rFonts w:cstheme="minorHAnsi"/>
                <w:sz w:val="24"/>
                <w:szCs w:val="24"/>
              </w:rPr>
              <w:t xml:space="preserve"> i </w:t>
            </w:r>
            <w:proofErr w:type="spellStart"/>
            <w:r w:rsidRPr="00244C66">
              <w:rPr>
                <w:rFonts w:cstheme="minorHAnsi"/>
                <w:sz w:val="24"/>
                <w:szCs w:val="24"/>
              </w:rPr>
              <w:t>jcwpd</w:t>
            </w:r>
            <w:proofErr w:type="spellEnd"/>
            <w:r w:rsidRPr="00244C66">
              <w:rPr>
                <w:rFonts w:cstheme="minorHAnsi"/>
                <w:sz w:val="24"/>
                <w:szCs w:val="24"/>
              </w:rPr>
              <w:t xml:space="preserve"> w aktualizacji Programu wodnośrodowiskowego kraju (</w:t>
            </w:r>
            <w:proofErr w:type="spellStart"/>
            <w:r w:rsidRPr="00244C66">
              <w:rPr>
                <w:rFonts w:cstheme="minorHAnsi"/>
                <w:sz w:val="24"/>
                <w:szCs w:val="24"/>
              </w:rPr>
              <w:t>aPWŚK</w:t>
            </w:r>
            <w:proofErr w:type="spellEnd"/>
            <w:r w:rsidRPr="00244C66">
              <w:rPr>
                <w:rFonts w:cstheme="minorHAnsi"/>
                <w:sz w:val="24"/>
                <w:szCs w:val="24"/>
              </w:rPr>
              <w:t>) oraz o stanie realizacji tych działań.</w:t>
            </w:r>
          </w:p>
        </w:tc>
        <w:tc>
          <w:tcPr>
            <w:tcW w:w="1701" w:type="dxa"/>
          </w:tcPr>
          <w:p w14:paraId="50B3F3FF" w14:textId="6977F1FB" w:rsidR="00E4429E" w:rsidRPr="00244C66" w:rsidRDefault="00E4429E" w:rsidP="00E4429E">
            <w:pPr>
              <w:jc w:val="left"/>
              <w:rPr>
                <w:rFonts w:cstheme="minorHAnsi"/>
                <w:sz w:val="24"/>
                <w:szCs w:val="24"/>
              </w:rPr>
            </w:pPr>
            <w:r w:rsidRPr="00244C66">
              <w:rPr>
                <w:rFonts w:cstheme="minorHAnsi"/>
                <w:sz w:val="24"/>
                <w:szCs w:val="24"/>
              </w:rPr>
              <w:lastRenderedPageBreak/>
              <w:t>Państwowe Gospodarstwo Wodne Wody Polskie</w:t>
            </w:r>
          </w:p>
        </w:tc>
        <w:tc>
          <w:tcPr>
            <w:tcW w:w="2517" w:type="dxa"/>
          </w:tcPr>
          <w:p w14:paraId="22A460EB" w14:textId="28E9F3E8" w:rsidR="00E4429E" w:rsidRPr="00244C66" w:rsidRDefault="005972DD" w:rsidP="00E4429E">
            <w:pPr>
              <w:jc w:val="left"/>
              <w:rPr>
                <w:rFonts w:cstheme="minorHAnsi"/>
                <w:sz w:val="24"/>
                <w:szCs w:val="24"/>
              </w:rPr>
            </w:pPr>
            <w:r w:rsidRPr="00244C66">
              <w:rPr>
                <w:rFonts w:cstheme="minorHAnsi"/>
                <w:sz w:val="24"/>
                <w:szCs w:val="24"/>
              </w:rPr>
              <w:t xml:space="preserve">Uwagę przyjmuje się za zasadną. Stosowne zapisy ujęto w rozdziale 6.1. Założenia struktury funkcjonalno-przestrzennej gminy w kontekście ustaleń </w:t>
            </w:r>
            <w:r w:rsidRPr="00244C66">
              <w:rPr>
                <w:rFonts w:cstheme="minorHAnsi"/>
                <w:sz w:val="24"/>
                <w:szCs w:val="24"/>
              </w:rPr>
              <w:lastRenderedPageBreak/>
              <w:t>Strategii Rozwoju Gminy Świątniki Górne do 2030 roku.</w:t>
            </w:r>
          </w:p>
        </w:tc>
      </w:tr>
      <w:tr w:rsidR="00E4429E" w:rsidRPr="00244C66" w14:paraId="538B469F" w14:textId="77777777" w:rsidTr="00D76FBC">
        <w:tc>
          <w:tcPr>
            <w:tcW w:w="495" w:type="dxa"/>
          </w:tcPr>
          <w:p w14:paraId="4A206BE3" w14:textId="43DB14ED" w:rsidR="00E4429E" w:rsidRPr="00244C66" w:rsidRDefault="00C86E1F" w:rsidP="00E4429E">
            <w:pPr>
              <w:jc w:val="center"/>
              <w:rPr>
                <w:rFonts w:cstheme="minorHAnsi"/>
                <w:sz w:val="24"/>
                <w:szCs w:val="24"/>
              </w:rPr>
            </w:pPr>
            <w:r w:rsidRPr="00244C66">
              <w:rPr>
                <w:rFonts w:cstheme="minorHAnsi"/>
                <w:sz w:val="24"/>
                <w:szCs w:val="24"/>
              </w:rPr>
              <w:lastRenderedPageBreak/>
              <w:t>2</w:t>
            </w:r>
            <w:r w:rsidR="002221CD" w:rsidRPr="00244C66">
              <w:rPr>
                <w:rFonts w:cstheme="minorHAnsi"/>
                <w:sz w:val="24"/>
                <w:szCs w:val="24"/>
              </w:rPr>
              <w:t>6</w:t>
            </w:r>
            <w:r w:rsidRPr="00244C66">
              <w:rPr>
                <w:rFonts w:cstheme="minorHAnsi"/>
                <w:sz w:val="24"/>
                <w:szCs w:val="24"/>
              </w:rPr>
              <w:t>.</w:t>
            </w:r>
          </w:p>
        </w:tc>
        <w:tc>
          <w:tcPr>
            <w:tcW w:w="4575" w:type="dxa"/>
          </w:tcPr>
          <w:p w14:paraId="58D7BA88" w14:textId="4FD2DDC4" w:rsidR="00E4429E" w:rsidRPr="00244C66" w:rsidRDefault="00E4429E" w:rsidP="00E4429E">
            <w:pPr>
              <w:jc w:val="left"/>
              <w:rPr>
                <w:rFonts w:cstheme="minorHAnsi"/>
                <w:sz w:val="24"/>
                <w:szCs w:val="24"/>
              </w:rPr>
            </w:pPr>
            <w:bookmarkStart w:id="4" w:name="_Hlk85803594"/>
            <w:r w:rsidRPr="00244C66">
              <w:rPr>
                <w:rFonts w:cstheme="minorHAnsi"/>
                <w:sz w:val="24"/>
                <w:szCs w:val="24"/>
              </w:rPr>
              <w:t xml:space="preserve">Zwracamy uwagę, iż w Strategii należy odnieść się do kolejnego dokumentu o strategicznym znaczeniu, do którego będą odnosiły się wszystkie późniejsze, konkretne działania minimalizujące skutki suszy, podejmowane zarówno przez organy administracji rządowej, jak i samorządy, a mianowicie Plan Przeciwdziałania Skutkom Suszy (PPSS) na lata 2021-2027 – przyjętego na mocy rozporządzenia Ministra Infrastruktury z dnia 15 lipca 2021 w sprawie przyjęcia Planu przeciwdziałania skutkom suszy (Dz.U.2021 poz. 1615). Szczegółowe informacje dotyczące Planu </w:t>
            </w:r>
            <w:bookmarkEnd w:id="4"/>
            <w:r w:rsidRPr="00244C66">
              <w:rPr>
                <w:rFonts w:cstheme="minorHAnsi"/>
                <w:sz w:val="24"/>
                <w:szCs w:val="24"/>
              </w:rPr>
              <w:t xml:space="preserve">Przeciwdziałania Skutkom Suszy można znaleźć na stronie internetowej: www.stopsuszy.pl.  </w:t>
            </w:r>
          </w:p>
        </w:tc>
        <w:tc>
          <w:tcPr>
            <w:tcW w:w="1701" w:type="dxa"/>
          </w:tcPr>
          <w:p w14:paraId="671BCFCA" w14:textId="1B4B8B9E" w:rsidR="00E4429E" w:rsidRPr="00244C66" w:rsidRDefault="00E4429E" w:rsidP="00E4429E">
            <w:pPr>
              <w:jc w:val="left"/>
              <w:rPr>
                <w:rFonts w:cstheme="minorHAnsi"/>
                <w:sz w:val="24"/>
                <w:szCs w:val="24"/>
              </w:rPr>
            </w:pPr>
            <w:r w:rsidRPr="00244C66">
              <w:rPr>
                <w:rFonts w:cstheme="minorHAnsi"/>
                <w:sz w:val="24"/>
                <w:szCs w:val="24"/>
              </w:rPr>
              <w:t>Państwowe Gospodarstwo Wodne Wody Polskie</w:t>
            </w:r>
          </w:p>
        </w:tc>
        <w:tc>
          <w:tcPr>
            <w:tcW w:w="2517" w:type="dxa"/>
          </w:tcPr>
          <w:p w14:paraId="30FF772A" w14:textId="300E5D46" w:rsidR="00E4429E" w:rsidRPr="00244C66" w:rsidRDefault="005972DD" w:rsidP="00E4429E">
            <w:pPr>
              <w:jc w:val="left"/>
              <w:rPr>
                <w:rFonts w:cstheme="minorHAnsi"/>
                <w:sz w:val="24"/>
                <w:szCs w:val="24"/>
              </w:rPr>
            </w:pPr>
            <w:r w:rsidRPr="00244C66">
              <w:rPr>
                <w:rFonts w:cstheme="minorHAnsi"/>
                <w:sz w:val="24"/>
                <w:szCs w:val="24"/>
              </w:rPr>
              <w:t>Uwagę przyjmuje się za zasadną. Stosowne zapisy ujęto w rozdziale 6.1. Założenia struktury funkcjonalno-przestrzennej gminy w kontekście ustaleń Strategii Rozwoju Gminy Świątniki Górne do 2030 roku.</w:t>
            </w:r>
          </w:p>
        </w:tc>
      </w:tr>
      <w:tr w:rsidR="0043556C" w:rsidRPr="00244C66" w14:paraId="12236BF6" w14:textId="77777777" w:rsidTr="00D76FBC">
        <w:tc>
          <w:tcPr>
            <w:tcW w:w="495" w:type="dxa"/>
          </w:tcPr>
          <w:p w14:paraId="21211CBA" w14:textId="1AC1A114" w:rsidR="0043556C" w:rsidRPr="00244C66" w:rsidRDefault="00E4429E" w:rsidP="0004657D">
            <w:pPr>
              <w:jc w:val="center"/>
              <w:rPr>
                <w:rFonts w:cstheme="minorHAnsi"/>
                <w:sz w:val="24"/>
                <w:szCs w:val="24"/>
              </w:rPr>
            </w:pPr>
            <w:r w:rsidRPr="00244C66">
              <w:rPr>
                <w:rFonts w:cstheme="minorHAnsi"/>
                <w:sz w:val="24"/>
                <w:szCs w:val="24"/>
              </w:rPr>
              <w:t>2</w:t>
            </w:r>
            <w:r w:rsidR="002221CD" w:rsidRPr="00244C66">
              <w:rPr>
                <w:rFonts w:cstheme="minorHAnsi"/>
                <w:sz w:val="24"/>
                <w:szCs w:val="24"/>
              </w:rPr>
              <w:t>7</w:t>
            </w:r>
            <w:r w:rsidRPr="00244C66">
              <w:rPr>
                <w:rFonts w:cstheme="minorHAnsi"/>
                <w:sz w:val="24"/>
                <w:szCs w:val="24"/>
              </w:rPr>
              <w:t>.</w:t>
            </w:r>
          </w:p>
        </w:tc>
        <w:tc>
          <w:tcPr>
            <w:tcW w:w="4575" w:type="dxa"/>
          </w:tcPr>
          <w:p w14:paraId="0E57D2AE" w14:textId="3481CD82" w:rsidR="008D4B5B" w:rsidRPr="00244C66" w:rsidRDefault="008D4B5B" w:rsidP="0004657D">
            <w:pPr>
              <w:jc w:val="left"/>
              <w:rPr>
                <w:rFonts w:cstheme="minorHAnsi"/>
                <w:sz w:val="24"/>
                <w:szCs w:val="24"/>
              </w:rPr>
            </w:pPr>
            <w:r w:rsidRPr="00244C66">
              <w:rPr>
                <w:rFonts w:cstheme="minorHAnsi"/>
                <w:sz w:val="24"/>
                <w:szCs w:val="24"/>
              </w:rPr>
              <w:t xml:space="preserve">W zakresie rozwoju infrastruktury  i oferty społecznej, kulturalnej, edukacyjnej proponuje się budowę Domu Kultury z salą koncertową i pomieszczeniami dla młodzieży i organizacji. </w:t>
            </w:r>
            <w:r w:rsidR="00A82B8C" w:rsidRPr="00244C66">
              <w:rPr>
                <w:rFonts w:cstheme="minorHAnsi"/>
                <w:sz w:val="24"/>
                <w:szCs w:val="24"/>
              </w:rPr>
              <w:t xml:space="preserve">Szkoła Muzyczna oraz orkiestra nie mają sali koncertowej. </w:t>
            </w:r>
          </w:p>
        </w:tc>
        <w:tc>
          <w:tcPr>
            <w:tcW w:w="1701" w:type="dxa"/>
          </w:tcPr>
          <w:p w14:paraId="5A3A1F26" w14:textId="0FB93690" w:rsidR="0043556C" w:rsidRPr="00244C66" w:rsidRDefault="00076203" w:rsidP="0004657D">
            <w:pPr>
              <w:jc w:val="left"/>
              <w:rPr>
                <w:rFonts w:cstheme="minorHAnsi"/>
                <w:sz w:val="24"/>
                <w:szCs w:val="24"/>
              </w:rPr>
            </w:pPr>
            <w:r w:rsidRPr="00244C66">
              <w:rPr>
                <w:rFonts w:cstheme="minorHAnsi"/>
                <w:sz w:val="24"/>
                <w:szCs w:val="24"/>
              </w:rPr>
              <w:t>mieszkaniec</w:t>
            </w:r>
          </w:p>
        </w:tc>
        <w:tc>
          <w:tcPr>
            <w:tcW w:w="2517" w:type="dxa"/>
          </w:tcPr>
          <w:p w14:paraId="02C9C8A7" w14:textId="3F841851" w:rsidR="0043556C" w:rsidRPr="00244C66" w:rsidRDefault="005972DD" w:rsidP="0004657D">
            <w:pPr>
              <w:jc w:val="left"/>
              <w:rPr>
                <w:rFonts w:cstheme="minorHAnsi"/>
                <w:sz w:val="24"/>
                <w:szCs w:val="24"/>
              </w:rPr>
            </w:pPr>
            <w:r w:rsidRPr="00244C66">
              <w:rPr>
                <w:rFonts w:cstheme="minorHAnsi"/>
                <w:sz w:val="24"/>
                <w:szCs w:val="24"/>
              </w:rPr>
              <w:t xml:space="preserve">Uwaga co do zasady pokrywa się intencją już ujętą w Strategii. Gmina zamierza rozwijać </w:t>
            </w:r>
            <w:r w:rsidR="007E7FC1" w:rsidRPr="00244C66">
              <w:rPr>
                <w:rFonts w:cstheme="minorHAnsi"/>
                <w:sz w:val="24"/>
                <w:szCs w:val="24"/>
              </w:rPr>
              <w:t xml:space="preserve">stosowną infrastrukturę kultury, w tym rozwinąć nowy obiekt Domu Kultury. Ujęte jest to w działaniu „2.2.2 Rozwój i modernizacja infrastruktury społecznej, w tym obiektów kultury, bibliotek, obiektów </w:t>
            </w:r>
            <w:r w:rsidR="007E7FC1" w:rsidRPr="00244C66">
              <w:rPr>
                <w:rFonts w:cstheme="minorHAnsi"/>
                <w:sz w:val="24"/>
                <w:szCs w:val="24"/>
              </w:rPr>
              <w:lastRenderedPageBreak/>
              <w:t>integracji społecznej, obiektów OSP.</w:t>
            </w:r>
          </w:p>
        </w:tc>
      </w:tr>
      <w:tr w:rsidR="0043556C" w:rsidRPr="00244C66" w14:paraId="2D75D225" w14:textId="77777777" w:rsidTr="00D76FBC">
        <w:tc>
          <w:tcPr>
            <w:tcW w:w="495" w:type="dxa"/>
          </w:tcPr>
          <w:p w14:paraId="73F1862C" w14:textId="59417CCA" w:rsidR="0043556C" w:rsidRPr="00244C66" w:rsidRDefault="00A82B8C" w:rsidP="0004657D">
            <w:pPr>
              <w:jc w:val="center"/>
              <w:rPr>
                <w:rFonts w:cstheme="minorHAnsi"/>
                <w:sz w:val="24"/>
                <w:szCs w:val="24"/>
              </w:rPr>
            </w:pPr>
            <w:r w:rsidRPr="00244C66">
              <w:rPr>
                <w:rFonts w:cstheme="minorHAnsi"/>
                <w:sz w:val="24"/>
                <w:szCs w:val="24"/>
              </w:rPr>
              <w:lastRenderedPageBreak/>
              <w:t>2</w:t>
            </w:r>
            <w:r w:rsidR="002221CD" w:rsidRPr="00244C66">
              <w:rPr>
                <w:rFonts w:cstheme="minorHAnsi"/>
                <w:sz w:val="24"/>
                <w:szCs w:val="24"/>
              </w:rPr>
              <w:t>8</w:t>
            </w:r>
            <w:r w:rsidRPr="00244C66">
              <w:rPr>
                <w:rFonts w:cstheme="minorHAnsi"/>
                <w:sz w:val="24"/>
                <w:szCs w:val="24"/>
              </w:rPr>
              <w:t>.</w:t>
            </w:r>
          </w:p>
        </w:tc>
        <w:tc>
          <w:tcPr>
            <w:tcW w:w="4575" w:type="dxa"/>
          </w:tcPr>
          <w:p w14:paraId="13B5339C" w14:textId="10B2E2A0" w:rsidR="0043556C" w:rsidRPr="00244C66" w:rsidRDefault="00A82B8C" w:rsidP="0004657D">
            <w:pPr>
              <w:jc w:val="left"/>
              <w:rPr>
                <w:rFonts w:cstheme="minorHAnsi"/>
                <w:sz w:val="24"/>
                <w:szCs w:val="24"/>
              </w:rPr>
            </w:pPr>
            <w:r w:rsidRPr="00244C66">
              <w:rPr>
                <w:rFonts w:cstheme="minorHAnsi"/>
                <w:sz w:val="24"/>
                <w:szCs w:val="24"/>
              </w:rPr>
              <w:t xml:space="preserve">W odniesieniu do warunków tworzenia przedsiębiorczości na terenie gminy proponuje się budowę obwodnicy i zakup działek dla stworzenia strefy ekonomicznej. W Świątnikach Górnych brak jest możliwości rozwoju przedsiębiorczości, niektóre działalności przenoszą się do innych gmin. </w:t>
            </w:r>
          </w:p>
        </w:tc>
        <w:tc>
          <w:tcPr>
            <w:tcW w:w="1701" w:type="dxa"/>
          </w:tcPr>
          <w:p w14:paraId="29899142" w14:textId="1A15326D" w:rsidR="0043556C" w:rsidRPr="00244C66" w:rsidRDefault="00076203" w:rsidP="0004657D">
            <w:pPr>
              <w:jc w:val="left"/>
              <w:rPr>
                <w:rFonts w:cstheme="minorHAnsi"/>
                <w:sz w:val="24"/>
                <w:szCs w:val="24"/>
              </w:rPr>
            </w:pPr>
            <w:r w:rsidRPr="00244C66">
              <w:rPr>
                <w:rFonts w:cstheme="minorHAnsi"/>
                <w:sz w:val="24"/>
                <w:szCs w:val="24"/>
              </w:rPr>
              <w:t>mieszkaniec</w:t>
            </w:r>
          </w:p>
        </w:tc>
        <w:tc>
          <w:tcPr>
            <w:tcW w:w="2517" w:type="dxa"/>
          </w:tcPr>
          <w:p w14:paraId="0B5CCB54" w14:textId="77777777" w:rsidR="0043556C" w:rsidRPr="00244C66" w:rsidRDefault="00A82B8C" w:rsidP="0004657D">
            <w:pPr>
              <w:jc w:val="left"/>
              <w:rPr>
                <w:rFonts w:cstheme="minorHAnsi"/>
                <w:sz w:val="24"/>
                <w:szCs w:val="24"/>
              </w:rPr>
            </w:pPr>
            <w:r w:rsidRPr="00244C66">
              <w:rPr>
                <w:rFonts w:cstheme="minorHAnsi"/>
                <w:sz w:val="24"/>
                <w:szCs w:val="24"/>
              </w:rPr>
              <w:t>Uwagę uznaje się za niezasadną.</w:t>
            </w:r>
          </w:p>
          <w:p w14:paraId="1D96638D" w14:textId="3E61840A" w:rsidR="00963C12" w:rsidRPr="00244C66" w:rsidRDefault="00963C12" w:rsidP="0004657D">
            <w:pPr>
              <w:jc w:val="left"/>
              <w:rPr>
                <w:rFonts w:cstheme="minorHAnsi"/>
                <w:sz w:val="24"/>
                <w:szCs w:val="24"/>
              </w:rPr>
            </w:pPr>
            <w:r w:rsidRPr="00244C66">
              <w:rPr>
                <w:rFonts w:cstheme="minorHAnsi"/>
                <w:sz w:val="24"/>
                <w:szCs w:val="24"/>
              </w:rPr>
              <w:t xml:space="preserve">Gmina nie posiada rezerw gruntów na realizację proponowanych działań. Nieduża powierzchnia oraz aktualny stopień zainwestowania praktycznie ograniczają realność takich planów.  </w:t>
            </w:r>
          </w:p>
        </w:tc>
      </w:tr>
      <w:tr w:rsidR="00E4429E" w:rsidRPr="00244C66" w14:paraId="53414933" w14:textId="77777777" w:rsidTr="00D76FBC">
        <w:tc>
          <w:tcPr>
            <w:tcW w:w="495" w:type="dxa"/>
          </w:tcPr>
          <w:p w14:paraId="7208A51B" w14:textId="3CD08440" w:rsidR="00E4429E" w:rsidRPr="00244C66" w:rsidRDefault="002221CD" w:rsidP="0004657D">
            <w:pPr>
              <w:jc w:val="center"/>
              <w:rPr>
                <w:rFonts w:cstheme="minorHAnsi"/>
                <w:sz w:val="24"/>
                <w:szCs w:val="24"/>
              </w:rPr>
            </w:pPr>
            <w:r w:rsidRPr="00244C66">
              <w:rPr>
                <w:rFonts w:cstheme="minorHAnsi"/>
                <w:sz w:val="24"/>
                <w:szCs w:val="24"/>
              </w:rPr>
              <w:t>29</w:t>
            </w:r>
            <w:r w:rsidR="00A82B8C" w:rsidRPr="00244C66">
              <w:rPr>
                <w:rFonts w:cstheme="minorHAnsi"/>
                <w:sz w:val="24"/>
                <w:szCs w:val="24"/>
              </w:rPr>
              <w:t>.</w:t>
            </w:r>
          </w:p>
        </w:tc>
        <w:tc>
          <w:tcPr>
            <w:tcW w:w="4575" w:type="dxa"/>
          </w:tcPr>
          <w:p w14:paraId="39CDA3E1" w14:textId="49A5B57D" w:rsidR="00374C4A" w:rsidRPr="00244C66" w:rsidRDefault="00374C4A" w:rsidP="00374C4A">
            <w:pPr>
              <w:jc w:val="left"/>
              <w:rPr>
                <w:rFonts w:cstheme="minorHAnsi"/>
                <w:sz w:val="24"/>
                <w:szCs w:val="24"/>
              </w:rPr>
            </w:pPr>
            <w:r w:rsidRPr="00244C66">
              <w:rPr>
                <w:rFonts w:cstheme="minorHAnsi"/>
                <w:sz w:val="24"/>
                <w:szCs w:val="24"/>
              </w:rPr>
              <w:t>Strona 55</w:t>
            </w:r>
          </w:p>
          <w:p w14:paraId="2114B89F" w14:textId="77777777" w:rsidR="00374C4A" w:rsidRPr="00244C66" w:rsidRDefault="00374C4A" w:rsidP="00374C4A">
            <w:pPr>
              <w:jc w:val="left"/>
              <w:rPr>
                <w:rFonts w:cstheme="minorHAnsi"/>
                <w:sz w:val="24"/>
                <w:szCs w:val="24"/>
              </w:rPr>
            </w:pPr>
            <w:r w:rsidRPr="00244C66">
              <w:rPr>
                <w:rFonts w:cstheme="minorHAnsi"/>
                <w:sz w:val="24"/>
                <w:szCs w:val="24"/>
              </w:rPr>
              <w:t xml:space="preserve">Prowadzenie i wspieranie działań w zakresie </w:t>
            </w:r>
          </w:p>
          <w:p w14:paraId="32FB62FC" w14:textId="77777777" w:rsidR="00374C4A" w:rsidRPr="00244C66" w:rsidRDefault="00374C4A" w:rsidP="00374C4A">
            <w:pPr>
              <w:jc w:val="left"/>
              <w:rPr>
                <w:rFonts w:cstheme="minorHAnsi"/>
                <w:sz w:val="24"/>
                <w:szCs w:val="24"/>
              </w:rPr>
            </w:pPr>
            <w:r w:rsidRPr="00244C66">
              <w:rPr>
                <w:rFonts w:cstheme="minorHAnsi"/>
                <w:sz w:val="24"/>
                <w:szCs w:val="24"/>
              </w:rPr>
              <w:t xml:space="preserve">ochrony przed powodzią, erozją i przeciwdziałanie </w:t>
            </w:r>
          </w:p>
          <w:p w14:paraId="6C6B8AD1" w14:textId="77777777" w:rsidR="00E4429E" w:rsidRPr="00244C66" w:rsidRDefault="00374C4A" w:rsidP="00374C4A">
            <w:pPr>
              <w:jc w:val="left"/>
              <w:rPr>
                <w:rFonts w:cstheme="minorHAnsi"/>
                <w:sz w:val="24"/>
                <w:szCs w:val="24"/>
              </w:rPr>
            </w:pPr>
            <w:r w:rsidRPr="00244C66">
              <w:rPr>
                <w:rFonts w:cstheme="minorHAnsi"/>
                <w:sz w:val="24"/>
                <w:szCs w:val="24"/>
              </w:rPr>
              <w:t>występowaniu usuwisk.</w:t>
            </w:r>
          </w:p>
          <w:p w14:paraId="7CCE3DAF" w14:textId="77777777" w:rsidR="00374C4A" w:rsidRPr="00244C66" w:rsidRDefault="00374C4A" w:rsidP="00374C4A">
            <w:pPr>
              <w:jc w:val="left"/>
              <w:rPr>
                <w:rFonts w:cstheme="minorHAnsi"/>
                <w:sz w:val="24"/>
                <w:szCs w:val="24"/>
              </w:rPr>
            </w:pPr>
            <w:r w:rsidRPr="00244C66">
              <w:rPr>
                <w:rFonts w:cstheme="minorHAnsi"/>
                <w:sz w:val="24"/>
                <w:szCs w:val="24"/>
              </w:rPr>
              <w:t>Zmiana jednostki odpowiedzialnej lub usunięcie pozycji.</w:t>
            </w:r>
          </w:p>
          <w:p w14:paraId="50B2FD3C" w14:textId="5228728F" w:rsidR="00374C4A" w:rsidRPr="00244C66" w:rsidRDefault="00374C4A" w:rsidP="00374C4A">
            <w:pPr>
              <w:jc w:val="left"/>
              <w:rPr>
                <w:rFonts w:cstheme="minorHAnsi"/>
                <w:sz w:val="24"/>
                <w:szCs w:val="24"/>
              </w:rPr>
            </w:pPr>
            <w:r w:rsidRPr="00244C66">
              <w:rPr>
                <w:rFonts w:cstheme="minorHAnsi"/>
                <w:sz w:val="24"/>
                <w:szCs w:val="24"/>
              </w:rPr>
              <w:t xml:space="preserve">Jako odpowiedzialny wyznaczono referat GPGS – referat nie prowadzi działań w kierunku przeciwdziałania występowaniu osuwisk, mamy je jedynie na mapach </w:t>
            </w:r>
            <w:proofErr w:type="spellStart"/>
            <w:r w:rsidRPr="00244C66">
              <w:rPr>
                <w:rFonts w:cstheme="minorHAnsi"/>
                <w:sz w:val="24"/>
                <w:szCs w:val="24"/>
              </w:rPr>
              <w:t>mpzp</w:t>
            </w:r>
            <w:proofErr w:type="spellEnd"/>
            <w:r w:rsidRPr="00244C66">
              <w:rPr>
                <w:rFonts w:cstheme="minorHAnsi"/>
                <w:sz w:val="24"/>
                <w:szCs w:val="24"/>
              </w:rPr>
              <w:t>. Ochrona przeciwpowodziowa nie należy do zadań referatu GPGS.</w:t>
            </w:r>
          </w:p>
        </w:tc>
        <w:tc>
          <w:tcPr>
            <w:tcW w:w="1701" w:type="dxa"/>
          </w:tcPr>
          <w:p w14:paraId="7DA9CD85" w14:textId="3DA48908" w:rsidR="00E4429E" w:rsidRPr="00244C66" w:rsidRDefault="00076203" w:rsidP="0004657D">
            <w:pPr>
              <w:jc w:val="left"/>
              <w:rPr>
                <w:rFonts w:cstheme="minorHAnsi"/>
                <w:sz w:val="24"/>
                <w:szCs w:val="24"/>
              </w:rPr>
            </w:pPr>
            <w:r w:rsidRPr="00244C66">
              <w:rPr>
                <w:rFonts w:cstheme="minorHAnsi"/>
                <w:sz w:val="24"/>
                <w:szCs w:val="24"/>
              </w:rPr>
              <w:t xml:space="preserve">Referat </w:t>
            </w:r>
            <w:r w:rsidR="00983F76" w:rsidRPr="00244C66">
              <w:rPr>
                <w:rFonts w:cstheme="minorHAnsi"/>
                <w:sz w:val="24"/>
                <w:szCs w:val="24"/>
              </w:rPr>
              <w:t>Gospodarki Przestrzennej, Geodezji i Środowiska</w:t>
            </w:r>
            <w:r w:rsidR="00963C12" w:rsidRPr="00244C66">
              <w:rPr>
                <w:rFonts w:cstheme="minorHAnsi"/>
                <w:sz w:val="24"/>
                <w:szCs w:val="24"/>
              </w:rPr>
              <w:t xml:space="preserve"> </w:t>
            </w:r>
          </w:p>
        </w:tc>
        <w:tc>
          <w:tcPr>
            <w:tcW w:w="2517" w:type="dxa"/>
          </w:tcPr>
          <w:p w14:paraId="6CED0E9F" w14:textId="77777777" w:rsidR="00E4429E" w:rsidRPr="00244C66" w:rsidRDefault="00374C4A" w:rsidP="0004657D">
            <w:pPr>
              <w:jc w:val="left"/>
              <w:rPr>
                <w:rFonts w:cstheme="minorHAnsi"/>
                <w:sz w:val="24"/>
                <w:szCs w:val="24"/>
              </w:rPr>
            </w:pPr>
            <w:r w:rsidRPr="00244C66">
              <w:rPr>
                <w:rFonts w:cstheme="minorHAnsi"/>
                <w:sz w:val="24"/>
                <w:szCs w:val="24"/>
              </w:rPr>
              <w:t>Uwagę przyjmuje się za zasadną.</w:t>
            </w:r>
          </w:p>
          <w:p w14:paraId="763E68A4" w14:textId="6AE113A3" w:rsidR="00963C12" w:rsidRPr="00244C66" w:rsidRDefault="00963C12" w:rsidP="0004657D">
            <w:pPr>
              <w:jc w:val="left"/>
              <w:rPr>
                <w:rFonts w:cstheme="minorHAnsi"/>
                <w:sz w:val="24"/>
                <w:szCs w:val="24"/>
              </w:rPr>
            </w:pPr>
            <w:r w:rsidRPr="00244C66">
              <w:rPr>
                <w:rFonts w:cstheme="minorHAnsi"/>
                <w:sz w:val="24"/>
                <w:szCs w:val="24"/>
              </w:rPr>
              <w:t>Proponuje się wskazanie odpowiedzialności za działanie Referatu Inwestycji i Infrastruktury.</w:t>
            </w:r>
          </w:p>
        </w:tc>
      </w:tr>
      <w:tr w:rsidR="00963C12" w:rsidRPr="00244C66" w14:paraId="7DC4EABB" w14:textId="77777777" w:rsidTr="00D76FBC">
        <w:tc>
          <w:tcPr>
            <w:tcW w:w="495" w:type="dxa"/>
          </w:tcPr>
          <w:p w14:paraId="0AA1F97B" w14:textId="716E7473" w:rsidR="00963C12" w:rsidRPr="00244C66" w:rsidRDefault="00963C12" w:rsidP="00963C12">
            <w:pPr>
              <w:jc w:val="center"/>
              <w:rPr>
                <w:rFonts w:cstheme="minorHAnsi"/>
                <w:sz w:val="24"/>
                <w:szCs w:val="24"/>
              </w:rPr>
            </w:pPr>
            <w:r w:rsidRPr="00244C66">
              <w:rPr>
                <w:rFonts w:cstheme="minorHAnsi"/>
                <w:sz w:val="24"/>
                <w:szCs w:val="24"/>
              </w:rPr>
              <w:t>3</w:t>
            </w:r>
            <w:r w:rsidR="002221CD" w:rsidRPr="00244C66">
              <w:rPr>
                <w:rFonts w:cstheme="minorHAnsi"/>
                <w:sz w:val="24"/>
                <w:szCs w:val="24"/>
              </w:rPr>
              <w:t>0</w:t>
            </w:r>
            <w:r w:rsidRPr="00244C66">
              <w:rPr>
                <w:rFonts w:cstheme="minorHAnsi"/>
                <w:sz w:val="24"/>
                <w:szCs w:val="24"/>
              </w:rPr>
              <w:t>.</w:t>
            </w:r>
          </w:p>
        </w:tc>
        <w:tc>
          <w:tcPr>
            <w:tcW w:w="4575" w:type="dxa"/>
          </w:tcPr>
          <w:p w14:paraId="75EE0C42" w14:textId="77777777" w:rsidR="00963C12" w:rsidRPr="00244C66" w:rsidRDefault="00963C12" w:rsidP="00963C12">
            <w:pPr>
              <w:jc w:val="left"/>
              <w:rPr>
                <w:rFonts w:cstheme="minorHAnsi"/>
                <w:sz w:val="24"/>
                <w:szCs w:val="24"/>
              </w:rPr>
            </w:pPr>
            <w:r w:rsidRPr="00244C66">
              <w:rPr>
                <w:rFonts w:cstheme="minorHAnsi"/>
                <w:sz w:val="24"/>
                <w:szCs w:val="24"/>
              </w:rPr>
              <w:t>Strona 55</w:t>
            </w:r>
          </w:p>
          <w:p w14:paraId="48593A1C" w14:textId="7478B1D7" w:rsidR="00963C12" w:rsidRPr="00244C66" w:rsidRDefault="00963C12" w:rsidP="00963C12">
            <w:pPr>
              <w:jc w:val="left"/>
              <w:rPr>
                <w:rFonts w:cstheme="minorHAnsi"/>
                <w:sz w:val="24"/>
                <w:szCs w:val="24"/>
              </w:rPr>
            </w:pPr>
            <w:r w:rsidRPr="00244C66">
              <w:rPr>
                <w:rFonts w:cstheme="minorHAnsi"/>
                <w:sz w:val="24"/>
                <w:szCs w:val="24"/>
              </w:rPr>
              <w:t xml:space="preserve">Wspieranie rozwoju zielonej-błękitnej </w:t>
            </w:r>
          </w:p>
          <w:p w14:paraId="2B6AF33D" w14:textId="5FEE994F" w:rsidR="00963C12" w:rsidRPr="00244C66" w:rsidRDefault="00963C12" w:rsidP="00963C12">
            <w:pPr>
              <w:jc w:val="left"/>
              <w:rPr>
                <w:rFonts w:cstheme="minorHAnsi"/>
                <w:sz w:val="24"/>
                <w:szCs w:val="24"/>
              </w:rPr>
            </w:pPr>
            <w:r w:rsidRPr="00244C66">
              <w:rPr>
                <w:rFonts w:cstheme="minorHAnsi"/>
                <w:sz w:val="24"/>
                <w:szCs w:val="24"/>
              </w:rPr>
              <w:t>infrastruktury, w tym retencji wód.</w:t>
            </w:r>
          </w:p>
          <w:p w14:paraId="02EC8FE5" w14:textId="57242B96" w:rsidR="00963C12" w:rsidRPr="00244C66" w:rsidRDefault="00963C12" w:rsidP="00963C12">
            <w:pPr>
              <w:jc w:val="left"/>
              <w:rPr>
                <w:rFonts w:cstheme="minorHAnsi"/>
                <w:sz w:val="24"/>
                <w:szCs w:val="24"/>
              </w:rPr>
            </w:pPr>
            <w:r w:rsidRPr="00244C66">
              <w:rPr>
                <w:rFonts w:cstheme="minorHAnsi"/>
                <w:sz w:val="24"/>
                <w:szCs w:val="24"/>
              </w:rPr>
              <w:t>Zmiana jednostki odpowiedzialnej.</w:t>
            </w:r>
          </w:p>
        </w:tc>
        <w:tc>
          <w:tcPr>
            <w:tcW w:w="1701" w:type="dxa"/>
          </w:tcPr>
          <w:p w14:paraId="4858FE1C" w14:textId="1FA75BF8" w:rsidR="00963C12" w:rsidRPr="00244C66" w:rsidRDefault="00983F76" w:rsidP="00963C12">
            <w:pPr>
              <w:jc w:val="left"/>
              <w:rPr>
                <w:rFonts w:cstheme="minorHAnsi"/>
                <w:sz w:val="24"/>
                <w:szCs w:val="24"/>
              </w:rPr>
            </w:pPr>
            <w:r w:rsidRPr="00244C66">
              <w:rPr>
                <w:rFonts w:cstheme="minorHAnsi"/>
                <w:sz w:val="24"/>
                <w:szCs w:val="24"/>
              </w:rPr>
              <w:t>Referat Gospodarki Przestrzennej, Geodezji i Środowiska</w:t>
            </w:r>
          </w:p>
        </w:tc>
        <w:tc>
          <w:tcPr>
            <w:tcW w:w="2517" w:type="dxa"/>
          </w:tcPr>
          <w:p w14:paraId="2105DA03" w14:textId="77777777" w:rsidR="00963C12" w:rsidRPr="00244C66" w:rsidRDefault="00963C12" w:rsidP="00963C12">
            <w:pPr>
              <w:jc w:val="left"/>
              <w:rPr>
                <w:rFonts w:cstheme="minorHAnsi"/>
                <w:sz w:val="24"/>
                <w:szCs w:val="24"/>
              </w:rPr>
            </w:pPr>
            <w:r w:rsidRPr="00244C66">
              <w:rPr>
                <w:rFonts w:cstheme="minorHAnsi"/>
                <w:sz w:val="24"/>
                <w:szCs w:val="24"/>
              </w:rPr>
              <w:t>Uwagę przyjmuje się za zasadną.</w:t>
            </w:r>
          </w:p>
          <w:p w14:paraId="191961AD" w14:textId="788979D5" w:rsidR="00963C12" w:rsidRPr="00244C66" w:rsidRDefault="00963C12" w:rsidP="00963C12">
            <w:pPr>
              <w:jc w:val="left"/>
              <w:rPr>
                <w:rFonts w:cstheme="minorHAnsi"/>
                <w:sz w:val="24"/>
                <w:szCs w:val="24"/>
              </w:rPr>
            </w:pPr>
            <w:r w:rsidRPr="00244C66">
              <w:rPr>
                <w:rFonts w:cstheme="minorHAnsi"/>
                <w:sz w:val="24"/>
                <w:szCs w:val="24"/>
              </w:rPr>
              <w:t>Proponuje się wskazanie odpowiedzialności za działanie Referatu Inwestycji i Infrastruktury.</w:t>
            </w:r>
          </w:p>
        </w:tc>
      </w:tr>
    </w:tbl>
    <w:p w14:paraId="7CD02BCE" w14:textId="77777777" w:rsidR="00493144" w:rsidRPr="00244C66" w:rsidRDefault="00493144" w:rsidP="0004657D">
      <w:pPr>
        <w:spacing w:line="240" w:lineRule="auto"/>
        <w:rPr>
          <w:rFonts w:cstheme="minorHAnsi"/>
          <w:sz w:val="24"/>
          <w:szCs w:val="24"/>
        </w:rPr>
      </w:pPr>
    </w:p>
    <w:p w14:paraId="569DDAAE" w14:textId="77777777" w:rsidR="00244C66" w:rsidRDefault="00244C66" w:rsidP="00B4214D">
      <w:pPr>
        <w:spacing w:line="240" w:lineRule="auto"/>
        <w:rPr>
          <w:rFonts w:cstheme="minorHAnsi"/>
          <w:sz w:val="24"/>
          <w:szCs w:val="24"/>
        </w:rPr>
      </w:pPr>
    </w:p>
    <w:p w14:paraId="7422E649" w14:textId="77777777" w:rsidR="00244C66" w:rsidRDefault="00244C66" w:rsidP="00B4214D">
      <w:pPr>
        <w:spacing w:line="240" w:lineRule="auto"/>
        <w:rPr>
          <w:rFonts w:cstheme="minorHAnsi"/>
          <w:sz w:val="24"/>
          <w:szCs w:val="24"/>
        </w:rPr>
      </w:pPr>
    </w:p>
    <w:p w14:paraId="0ABE3E61" w14:textId="77777777" w:rsidR="00244C66" w:rsidRDefault="00244C66" w:rsidP="00B4214D">
      <w:pPr>
        <w:spacing w:line="240" w:lineRule="auto"/>
        <w:rPr>
          <w:rFonts w:cstheme="minorHAnsi"/>
          <w:sz w:val="24"/>
          <w:szCs w:val="24"/>
        </w:rPr>
      </w:pPr>
    </w:p>
    <w:p w14:paraId="2838FCF0" w14:textId="79E96B17" w:rsidR="00B4214D" w:rsidRPr="00244C66" w:rsidRDefault="00B4214D" w:rsidP="00244C66">
      <w:pPr>
        <w:spacing w:line="240" w:lineRule="auto"/>
        <w:jc w:val="left"/>
        <w:rPr>
          <w:rFonts w:cstheme="minorHAnsi"/>
          <w:sz w:val="24"/>
          <w:szCs w:val="24"/>
        </w:rPr>
      </w:pPr>
      <w:r w:rsidRPr="00244C66">
        <w:rPr>
          <w:rFonts w:cstheme="minorHAnsi"/>
          <w:sz w:val="24"/>
          <w:szCs w:val="24"/>
        </w:rPr>
        <w:lastRenderedPageBreak/>
        <w:t xml:space="preserve">Mając na uwadze ww. uwagi dokonano stosownych zmian w treści projektu Strategii Rozwoju Gminy </w:t>
      </w:r>
      <w:r w:rsidR="00BC0DE2" w:rsidRPr="00244C66">
        <w:rPr>
          <w:rFonts w:cstheme="minorHAnsi"/>
          <w:sz w:val="24"/>
          <w:szCs w:val="24"/>
        </w:rPr>
        <w:t>Świątniki Górne</w:t>
      </w:r>
      <w:r w:rsidRPr="00244C66">
        <w:rPr>
          <w:rFonts w:cstheme="minorHAnsi"/>
          <w:sz w:val="24"/>
          <w:szCs w:val="24"/>
        </w:rPr>
        <w:t xml:space="preserve"> </w:t>
      </w:r>
      <w:r w:rsidR="00983F76" w:rsidRPr="00244C66">
        <w:rPr>
          <w:rFonts w:cstheme="minorHAnsi"/>
          <w:sz w:val="24"/>
          <w:szCs w:val="24"/>
        </w:rPr>
        <w:t>do 2030 roku</w:t>
      </w:r>
      <w:r w:rsidRPr="00244C66">
        <w:rPr>
          <w:rFonts w:cstheme="minorHAnsi"/>
          <w:sz w:val="24"/>
          <w:szCs w:val="24"/>
        </w:rPr>
        <w:t>.</w:t>
      </w:r>
    </w:p>
    <w:p w14:paraId="63ED5A7C" w14:textId="073A6CBE" w:rsidR="00B4214D" w:rsidRPr="00244C66" w:rsidRDefault="00B4214D" w:rsidP="00B4214D">
      <w:pPr>
        <w:spacing w:line="240" w:lineRule="auto"/>
        <w:rPr>
          <w:rFonts w:cstheme="minorHAnsi"/>
          <w:sz w:val="24"/>
          <w:szCs w:val="24"/>
        </w:rPr>
      </w:pPr>
    </w:p>
    <w:p w14:paraId="676A5BC2" w14:textId="764F1E27" w:rsidR="00244C66" w:rsidRPr="00244C66" w:rsidRDefault="00244C66" w:rsidP="00B4214D">
      <w:pPr>
        <w:spacing w:line="240" w:lineRule="auto"/>
        <w:rPr>
          <w:rFonts w:cstheme="minorHAnsi"/>
          <w:sz w:val="24"/>
          <w:szCs w:val="24"/>
        </w:rPr>
      </w:pPr>
    </w:p>
    <w:p w14:paraId="5444C7F6" w14:textId="6DB803B4" w:rsidR="00244C66" w:rsidRPr="00244C66" w:rsidRDefault="00244C66" w:rsidP="00B4214D">
      <w:pPr>
        <w:spacing w:line="240" w:lineRule="auto"/>
        <w:rPr>
          <w:rFonts w:cstheme="minorHAnsi"/>
          <w:sz w:val="24"/>
          <w:szCs w:val="24"/>
        </w:rPr>
      </w:pPr>
    </w:p>
    <w:p w14:paraId="4772FA57" w14:textId="0EF2E939" w:rsidR="00244C66" w:rsidRPr="00244C66" w:rsidRDefault="00244C66" w:rsidP="00B4214D">
      <w:pPr>
        <w:spacing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Małgorzata Duży</w:t>
      </w:r>
    </w:p>
    <w:p w14:paraId="56940595" w14:textId="3F6BCDCE" w:rsidR="00244C66" w:rsidRPr="00244C66" w:rsidRDefault="00244C66" w:rsidP="00244C66">
      <w:pPr>
        <w:spacing w:line="240" w:lineRule="auto"/>
        <w:ind w:left="5664"/>
        <w:jc w:val="center"/>
        <w:rPr>
          <w:rFonts w:cstheme="minorHAnsi"/>
          <w:sz w:val="24"/>
          <w:szCs w:val="24"/>
        </w:rPr>
      </w:pPr>
      <w:r>
        <w:rPr>
          <w:rFonts w:cstheme="minorHAnsi"/>
          <w:sz w:val="24"/>
          <w:szCs w:val="24"/>
        </w:rPr>
        <w:t xml:space="preserve"> </w:t>
      </w:r>
      <w:r w:rsidR="00BC0DE2" w:rsidRPr="00244C66">
        <w:rPr>
          <w:rFonts w:cstheme="minorHAnsi"/>
          <w:sz w:val="24"/>
          <w:szCs w:val="24"/>
        </w:rPr>
        <w:t>Burmistrz</w:t>
      </w:r>
      <w:r w:rsidR="008341E3" w:rsidRPr="00244C66">
        <w:rPr>
          <w:rFonts w:cstheme="minorHAnsi"/>
          <w:sz w:val="24"/>
          <w:szCs w:val="24"/>
        </w:rPr>
        <w:t xml:space="preserve"> </w:t>
      </w:r>
      <w:r w:rsidRPr="00244C66">
        <w:rPr>
          <w:rFonts w:cstheme="minorHAnsi"/>
          <w:sz w:val="24"/>
          <w:szCs w:val="24"/>
        </w:rPr>
        <w:t xml:space="preserve">Miasta i </w:t>
      </w:r>
      <w:r w:rsidR="008341E3" w:rsidRPr="00244C66">
        <w:rPr>
          <w:rFonts w:cstheme="minorHAnsi"/>
          <w:sz w:val="24"/>
          <w:szCs w:val="24"/>
        </w:rPr>
        <w:t>Gminy</w:t>
      </w:r>
    </w:p>
    <w:p w14:paraId="6E0E3400" w14:textId="1052E125" w:rsidR="00BB1FC6" w:rsidRPr="00244C66" w:rsidRDefault="008341E3" w:rsidP="00244C66">
      <w:pPr>
        <w:spacing w:line="240" w:lineRule="auto"/>
        <w:ind w:left="5664"/>
        <w:jc w:val="center"/>
        <w:rPr>
          <w:rFonts w:cstheme="minorHAnsi"/>
          <w:sz w:val="24"/>
          <w:szCs w:val="24"/>
        </w:rPr>
      </w:pPr>
      <w:r w:rsidRPr="00244C66">
        <w:rPr>
          <w:rFonts w:cstheme="minorHAnsi"/>
          <w:sz w:val="24"/>
          <w:szCs w:val="24"/>
        </w:rPr>
        <w:t xml:space="preserve"> </w:t>
      </w:r>
      <w:r w:rsidR="00BC0DE2" w:rsidRPr="00244C66">
        <w:rPr>
          <w:rFonts w:cstheme="minorHAnsi"/>
          <w:sz w:val="24"/>
          <w:szCs w:val="24"/>
        </w:rPr>
        <w:t>Świątniki Górne</w:t>
      </w:r>
    </w:p>
    <w:p w14:paraId="1901C189" w14:textId="736A5971" w:rsidR="00E92877" w:rsidRPr="00244C66" w:rsidRDefault="00E92877" w:rsidP="00BC0DE2">
      <w:pPr>
        <w:spacing w:line="240" w:lineRule="auto"/>
        <w:ind w:left="5664"/>
        <w:rPr>
          <w:rFonts w:cstheme="minorHAnsi"/>
          <w:sz w:val="24"/>
          <w:szCs w:val="24"/>
        </w:rPr>
      </w:pPr>
    </w:p>
    <w:p w14:paraId="51F6387D" w14:textId="3B3DFCCD" w:rsidR="00E92877" w:rsidRPr="00244C66" w:rsidRDefault="00E92877" w:rsidP="00E92877">
      <w:pPr>
        <w:spacing w:line="240" w:lineRule="auto"/>
        <w:rPr>
          <w:rFonts w:cstheme="minorHAnsi"/>
          <w:sz w:val="24"/>
          <w:szCs w:val="24"/>
        </w:rPr>
      </w:pPr>
    </w:p>
    <w:p w14:paraId="4D8B452F" w14:textId="1C4CC994" w:rsidR="00E92877" w:rsidRPr="00244C66" w:rsidRDefault="00E92877" w:rsidP="00E92877">
      <w:pPr>
        <w:spacing w:line="240" w:lineRule="auto"/>
        <w:rPr>
          <w:rFonts w:cstheme="minorHAnsi"/>
          <w:sz w:val="24"/>
          <w:szCs w:val="24"/>
        </w:rPr>
      </w:pPr>
    </w:p>
    <w:p w14:paraId="48DDF514" w14:textId="73AFBA79" w:rsidR="00E92877" w:rsidRPr="00244C66" w:rsidRDefault="00E92877" w:rsidP="00E92877">
      <w:pPr>
        <w:spacing w:line="240" w:lineRule="auto"/>
        <w:rPr>
          <w:rFonts w:cstheme="minorHAnsi"/>
          <w:sz w:val="24"/>
          <w:szCs w:val="24"/>
        </w:rPr>
      </w:pPr>
    </w:p>
    <w:p w14:paraId="10E9EFD2" w14:textId="6E59F05E" w:rsidR="00E92877" w:rsidRPr="00244C66" w:rsidRDefault="00E92877" w:rsidP="00E92877">
      <w:pPr>
        <w:spacing w:line="240" w:lineRule="auto"/>
        <w:ind w:left="5664"/>
        <w:jc w:val="left"/>
        <w:rPr>
          <w:rFonts w:cstheme="minorHAnsi"/>
          <w:sz w:val="24"/>
          <w:szCs w:val="24"/>
        </w:rPr>
      </w:pPr>
    </w:p>
    <w:sectPr w:rsidR="00E92877" w:rsidRPr="00244C6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FA6C" w14:textId="77777777" w:rsidR="00FC4F22" w:rsidRDefault="00FC4F22" w:rsidP="00DD3864">
      <w:pPr>
        <w:spacing w:after="0" w:line="240" w:lineRule="auto"/>
      </w:pPr>
      <w:r>
        <w:separator/>
      </w:r>
    </w:p>
  </w:endnote>
  <w:endnote w:type="continuationSeparator" w:id="0">
    <w:p w14:paraId="11A8430F" w14:textId="77777777" w:rsidR="00FC4F22" w:rsidRDefault="00FC4F22" w:rsidP="00DD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470327"/>
      <w:docPartObj>
        <w:docPartGallery w:val="Page Numbers (Bottom of Page)"/>
        <w:docPartUnique/>
      </w:docPartObj>
    </w:sdtPr>
    <w:sdtEndPr/>
    <w:sdtContent>
      <w:p w14:paraId="37F6BADA" w14:textId="1A73A50A" w:rsidR="00DD3864" w:rsidRDefault="00DD3864">
        <w:pPr>
          <w:pStyle w:val="Stopka"/>
          <w:jc w:val="center"/>
        </w:pPr>
        <w:r>
          <w:fldChar w:fldCharType="begin"/>
        </w:r>
        <w:r>
          <w:instrText>PAGE   \* MERGEFORMAT</w:instrText>
        </w:r>
        <w:r>
          <w:fldChar w:fldCharType="separate"/>
        </w:r>
        <w:r>
          <w:t>2</w:t>
        </w:r>
        <w:r>
          <w:fldChar w:fldCharType="end"/>
        </w:r>
      </w:p>
    </w:sdtContent>
  </w:sdt>
  <w:p w14:paraId="5A8B8976" w14:textId="77777777" w:rsidR="00DD3864" w:rsidRDefault="00DD38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EFD6" w14:textId="77777777" w:rsidR="00FC4F22" w:rsidRDefault="00FC4F22" w:rsidP="00DD3864">
      <w:pPr>
        <w:spacing w:after="0" w:line="240" w:lineRule="auto"/>
      </w:pPr>
      <w:r>
        <w:separator/>
      </w:r>
    </w:p>
  </w:footnote>
  <w:footnote w:type="continuationSeparator" w:id="0">
    <w:p w14:paraId="15F12BBF" w14:textId="77777777" w:rsidR="00FC4F22" w:rsidRDefault="00FC4F22" w:rsidP="00DD3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09FC"/>
    <w:multiLevelType w:val="hybridMultilevel"/>
    <w:tmpl w:val="8786C4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F1702C"/>
    <w:multiLevelType w:val="hybridMultilevel"/>
    <w:tmpl w:val="1FF6A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A465F6"/>
    <w:multiLevelType w:val="hybridMultilevel"/>
    <w:tmpl w:val="AE28E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E32B7D"/>
    <w:multiLevelType w:val="hybridMultilevel"/>
    <w:tmpl w:val="2446F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032D7C"/>
    <w:multiLevelType w:val="hybridMultilevel"/>
    <w:tmpl w:val="6CAC5B3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FC6"/>
    <w:rsid w:val="00002C61"/>
    <w:rsid w:val="0004657D"/>
    <w:rsid w:val="00073724"/>
    <w:rsid w:val="00076203"/>
    <w:rsid w:val="000B7A38"/>
    <w:rsid w:val="000D6D86"/>
    <w:rsid w:val="000F5C95"/>
    <w:rsid w:val="000F64A0"/>
    <w:rsid w:val="0010171F"/>
    <w:rsid w:val="00130481"/>
    <w:rsid w:val="00133469"/>
    <w:rsid w:val="001368B0"/>
    <w:rsid w:val="0017794D"/>
    <w:rsid w:val="00187255"/>
    <w:rsid w:val="00194EFD"/>
    <w:rsid w:val="001B1AA7"/>
    <w:rsid w:val="002031BC"/>
    <w:rsid w:val="002221CD"/>
    <w:rsid w:val="00232175"/>
    <w:rsid w:val="00244C66"/>
    <w:rsid w:val="00274031"/>
    <w:rsid w:val="00287E48"/>
    <w:rsid w:val="002F5CD2"/>
    <w:rsid w:val="0033494C"/>
    <w:rsid w:val="0033658E"/>
    <w:rsid w:val="00374C4A"/>
    <w:rsid w:val="00386295"/>
    <w:rsid w:val="003954F3"/>
    <w:rsid w:val="003B5A18"/>
    <w:rsid w:val="003C1913"/>
    <w:rsid w:val="0043556C"/>
    <w:rsid w:val="00440CE6"/>
    <w:rsid w:val="00493144"/>
    <w:rsid w:val="004D4D95"/>
    <w:rsid w:val="004D6989"/>
    <w:rsid w:val="005574B4"/>
    <w:rsid w:val="005972DD"/>
    <w:rsid w:val="005D2BAF"/>
    <w:rsid w:val="005F3F29"/>
    <w:rsid w:val="0060381C"/>
    <w:rsid w:val="00605165"/>
    <w:rsid w:val="006345F2"/>
    <w:rsid w:val="00640CA9"/>
    <w:rsid w:val="006A2A0E"/>
    <w:rsid w:val="006D178C"/>
    <w:rsid w:val="006F0743"/>
    <w:rsid w:val="00722063"/>
    <w:rsid w:val="00727DAA"/>
    <w:rsid w:val="0073312C"/>
    <w:rsid w:val="00757BC0"/>
    <w:rsid w:val="00772BC1"/>
    <w:rsid w:val="007D439E"/>
    <w:rsid w:val="007D5EF5"/>
    <w:rsid w:val="007E7FC1"/>
    <w:rsid w:val="0080148C"/>
    <w:rsid w:val="008268A3"/>
    <w:rsid w:val="008341E3"/>
    <w:rsid w:val="00861A23"/>
    <w:rsid w:val="008A7348"/>
    <w:rsid w:val="008D4B5B"/>
    <w:rsid w:val="008E3EBD"/>
    <w:rsid w:val="008F5304"/>
    <w:rsid w:val="00902381"/>
    <w:rsid w:val="00914948"/>
    <w:rsid w:val="00914FD2"/>
    <w:rsid w:val="009271E2"/>
    <w:rsid w:val="00954078"/>
    <w:rsid w:val="009574C4"/>
    <w:rsid w:val="00963C12"/>
    <w:rsid w:val="00983F76"/>
    <w:rsid w:val="009B446B"/>
    <w:rsid w:val="009D5AC3"/>
    <w:rsid w:val="00A606DD"/>
    <w:rsid w:val="00A80034"/>
    <w:rsid w:val="00A82B8C"/>
    <w:rsid w:val="00A9570A"/>
    <w:rsid w:val="00AB4FF6"/>
    <w:rsid w:val="00AF4556"/>
    <w:rsid w:val="00B0190C"/>
    <w:rsid w:val="00B4214D"/>
    <w:rsid w:val="00B96A66"/>
    <w:rsid w:val="00BA522E"/>
    <w:rsid w:val="00BB1FC6"/>
    <w:rsid w:val="00BB3EF4"/>
    <w:rsid w:val="00BB4442"/>
    <w:rsid w:val="00BC0DE2"/>
    <w:rsid w:val="00BE3AE4"/>
    <w:rsid w:val="00C16203"/>
    <w:rsid w:val="00C332F3"/>
    <w:rsid w:val="00C555FF"/>
    <w:rsid w:val="00C56293"/>
    <w:rsid w:val="00C86E1F"/>
    <w:rsid w:val="00CF28B8"/>
    <w:rsid w:val="00D02913"/>
    <w:rsid w:val="00D11EB4"/>
    <w:rsid w:val="00D164E5"/>
    <w:rsid w:val="00D6603C"/>
    <w:rsid w:val="00D76FBC"/>
    <w:rsid w:val="00DB3FD6"/>
    <w:rsid w:val="00DD3864"/>
    <w:rsid w:val="00DF61D6"/>
    <w:rsid w:val="00DF7693"/>
    <w:rsid w:val="00E04B1C"/>
    <w:rsid w:val="00E35D3F"/>
    <w:rsid w:val="00E407EE"/>
    <w:rsid w:val="00E4429E"/>
    <w:rsid w:val="00E44EE7"/>
    <w:rsid w:val="00E844CA"/>
    <w:rsid w:val="00E92877"/>
    <w:rsid w:val="00ED4F97"/>
    <w:rsid w:val="00F167DA"/>
    <w:rsid w:val="00F2605A"/>
    <w:rsid w:val="00F426E3"/>
    <w:rsid w:val="00F57E0F"/>
    <w:rsid w:val="00FC4F22"/>
    <w:rsid w:val="00FF2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3FE7"/>
  <w15:docId w15:val="{97A47CE1-B884-4F61-BB27-AA7FFB8A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5AC3"/>
  </w:style>
  <w:style w:type="paragraph" w:styleId="Nagwek1">
    <w:name w:val="heading 1"/>
    <w:basedOn w:val="Normalny"/>
    <w:next w:val="Normalny"/>
    <w:link w:val="Nagwek1Znak"/>
    <w:uiPriority w:val="9"/>
    <w:qFormat/>
    <w:rsid w:val="009D5AC3"/>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aliases w:val="Nagłówek 2_proGiG"/>
    <w:basedOn w:val="Normalny"/>
    <w:next w:val="Normalny"/>
    <w:link w:val="Nagwek2Znak"/>
    <w:uiPriority w:val="9"/>
    <w:unhideWhenUsed/>
    <w:qFormat/>
    <w:rsid w:val="009D5AC3"/>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aliases w:val="Nagłówek3_proGiG"/>
    <w:basedOn w:val="Normalny"/>
    <w:next w:val="Normalny"/>
    <w:link w:val="Nagwek3Znak"/>
    <w:uiPriority w:val="9"/>
    <w:unhideWhenUsed/>
    <w:qFormat/>
    <w:rsid w:val="009D5AC3"/>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9D5AC3"/>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9D5AC3"/>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unhideWhenUsed/>
    <w:qFormat/>
    <w:rsid w:val="009D5AC3"/>
    <w:pPr>
      <w:keepNext/>
      <w:keepLines/>
      <w:spacing w:after="100" w:afterAutospacing="1"/>
      <w:outlineLvl w:val="5"/>
    </w:pPr>
    <w:rPr>
      <w:rFonts w:asciiTheme="majorHAnsi" w:eastAsiaTheme="majorEastAsia" w:hAnsiTheme="majorHAnsi" w:cstheme="majorBidi"/>
      <w:bCs/>
      <w:iCs/>
      <w:sz w:val="20"/>
    </w:rPr>
  </w:style>
  <w:style w:type="paragraph" w:styleId="Nagwek7">
    <w:name w:val="heading 7"/>
    <w:basedOn w:val="Normalny"/>
    <w:next w:val="Normalny"/>
    <w:link w:val="Nagwek7Znak"/>
    <w:uiPriority w:val="9"/>
    <w:semiHidden/>
    <w:unhideWhenUsed/>
    <w:qFormat/>
    <w:rsid w:val="009D5AC3"/>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9D5AC3"/>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9D5AC3"/>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5AC3"/>
    <w:rPr>
      <w:rFonts w:asciiTheme="majorHAnsi" w:eastAsiaTheme="majorEastAsia" w:hAnsiTheme="majorHAnsi" w:cstheme="majorBidi"/>
      <w:b/>
      <w:bCs/>
      <w:caps/>
      <w:spacing w:val="4"/>
      <w:sz w:val="28"/>
      <w:szCs w:val="28"/>
    </w:rPr>
  </w:style>
  <w:style w:type="character" w:customStyle="1" w:styleId="Nagwek2Znak">
    <w:name w:val="Nagłówek 2 Znak"/>
    <w:aliases w:val="Nagłówek 2_proGiG Znak"/>
    <w:basedOn w:val="Domylnaczcionkaakapitu"/>
    <w:link w:val="Nagwek2"/>
    <w:uiPriority w:val="9"/>
    <w:rsid w:val="009D5AC3"/>
    <w:rPr>
      <w:rFonts w:asciiTheme="majorHAnsi" w:eastAsiaTheme="majorEastAsia" w:hAnsiTheme="majorHAnsi" w:cstheme="majorBidi"/>
      <w:b/>
      <w:bCs/>
      <w:sz w:val="28"/>
      <w:szCs w:val="28"/>
    </w:rPr>
  </w:style>
  <w:style w:type="character" w:customStyle="1" w:styleId="Nagwek3Znak">
    <w:name w:val="Nagłówek 3 Znak"/>
    <w:aliases w:val="Nagłówek3_proGiG Znak"/>
    <w:basedOn w:val="Domylnaczcionkaakapitu"/>
    <w:link w:val="Nagwek3"/>
    <w:uiPriority w:val="9"/>
    <w:rsid w:val="009D5AC3"/>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9D5AC3"/>
    <w:rPr>
      <w:rFonts w:asciiTheme="majorHAnsi" w:eastAsiaTheme="majorEastAsia" w:hAnsiTheme="majorHAnsi" w:cstheme="majorBidi"/>
      <w:i/>
      <w:iCs/>
      <w:sz w:val="24"/>
      <w:szCs w:val="24"/>
    </w:rPr>
  </w:style>
  <w:style w:type="paragraph" w:styleId="Legenda">
    <w:name w:val="caption"/>
    <w:aliases w:val="Podpis nad obiektem,Podpis pod rysunkiem,Nagłówek Tabeli,Nag3ówek Tabeli,Tabela nr,Znak,Legenda Znak Znak Znak,Legenda Znak Znak,Legenda Znak Znak Znak Znak,Legenda Znak Znak Znak Znak Znak Znak,Legenda Znak Znak Znak Znak Znak Znak Znak"/>
    <w:basedOn w:val="Normalny"/>
    <w:next w:val="Normalny"/>
    <w:uiPriority w:val="35"/>
    <w:unhideWhenUsed/>
    <w:qFormat/>
    <w:rsid w:val="009D5AC3"/>
    <w:rPr>
      <w:b/>
      <w:bCs/>
      <w:sz w:val="20"/>
      <w:szCs w:val="18"/>
    </w:rPr>
  </w:style>
  <w:style w:type="paragraph" w:styleId="Tytu">
    <w:name w:val="Title"/>
    <w:basedOn w:val="Normalny"/>
    <w:next w:val="Normalny"/>
    <w:link w:val="TytuZnak"/>
    <w:uiPriority w:val="10"/>
    <w:qFormat/>
    <w:rsid w:val="009D5AC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9D5AC3"/>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9D5AC3"/>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9D5AC3"/>
    <w:rPr>
      <w:rFonts w:asciiTheme="majorHAnsi" w:eastAsiaTheme="majorEastAsia" w:hAnsiTheme="majorHAnsi" w:cstheme="majorBidi"/>
      <w:sz w:val="24"/>
      <w:szCs w:val="24"/>
    </w:rPr>
  </w:style>
  <w:style w:type="character" w:styleId="Pogrubienie">
    <w:name w:val="Strong"/>
    <w:basedOn w:val="Domylnaczcionkaakapitu"/>
    <w:uiPriority w:val="22"/>
    <w:qFormat/>
    <w:rsid w:val="009D5AC3"/>
    <w:rPr>
      <w:b/>
      <w:bCs/>
      <w:color w:val="auto"/>
    </w:rPr>
  </w:style>
  <w:style w:type="character" w:styleId="Uwydatnienie">
    <w:name w:val="Emphasis"/>
    <w:basedOn w:val="Domylnaczcionkaakapitu"/>
    <w:uiPriority w:val="20"/>
    <w:qFormat/>
    <w:rsid w:val="009D5AC3"/>
    <w:rPr>
      <w:i/>
      <w:iCs/>
      <w:color w:val="auto"/>
    </w:rPr>
  </w:style>
  <w:style w:type="paragraph" w:styleId="Bezodstpw">
    <w:name w:val="No Spacing"/>
    <w:link w:val="BezodstpwZnak"/>
    <w:uiPriority w:val="1"/>
    <w:qFormat/>
    <w:rsid w:val="009D5AC3"/>
    <w:pPr>
      <w:spacing w:after="0" w:line="240" w:lineRule="auto"/>
    </w:pPr>
  </w:style>
  <w:style w:type="character" w:customStyle="1" w:styleId="BezodstpwZnak">
    <w:name w:val="Bez odstępów Znak"/>
    <w:basedOn w:val="Domylnaczcionkaakapitu"/>
    <w:link w:val="Bezodstpw"/>
    <w:uiPriority w:val="1"/>
    <w:rsid w:val="009D5AC3"/>
  </w:style>
  <w:style w:type="paragraph" w:styleId="Akapitzlist">
    <w:name w:val="List Paragraph"/>
    <w:aliases w:val="Akapit z listą 1,List Paragraph,Chorzów - Akapit z listą,Akapit z listą1,Tekst punktowanie,L1,Akapit z listą5,Numerowanie,Akapit z listą BS,Kolorowa lista — akcent 11,Obiekt,List Paragraph1,BulletC,normalny tekst,Akapit z listą31"/>
    <w:basedOn w:val="Normalny"/>
    <w:link w:val="AkapitzlistZnak"/>
    <w:uiPriority w:val="34"/>
    <w:qFormat/>
    <w:rsid w:val="009D5AC3"/>
    <w:pPr>
      <w:ind w:left="720"/>
      <w:contextualSpacing/>
    </w:pPr>
  </w:style>
  <w:style w:type="character" w:customStyle="1" w:styleId="AkapitzlistZnak">
    <w:name w:val="Akapit z listą Znak"/>
    <w:aliases w:val="Akapit z listą 1 Znak,List Paragraph Znak,Chorzów - Akapit z listą Znak,Akapit z listą1 Znak,Tekst punktowanie Znak,L1 Znak,Akapit z listą5 Znak,Numerowanie Znak,Akapit z listą BS Znak,Kolorowa lista — akcent 11 Znak,Obiekt Znak"/>
    <w:link w:val="Akapitzlist"/>
    <w:uiPriority w:val="34"/>
    <w:qFormat/>
    <w:rsid w:val="009D5AC3"/>
  </w:style>
  <w:style w:type="paragraph" w:styleId="Cytatintensywny">
    <w:name w:val="Intense Quote"/>
    <w:basedOn w:val="Normalny"/>
    <w:next w:val="Normalny"/>
    <w:link w:val="CytatintensywnyZnak"/>
    <w:uiPriority w:val="30"/>
    <w:qFormat/>
    <w:rsid w:val="009D5AC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9D5AC3"/>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9D5AC3"/>
    <w:rPr>
      <w:i/>
      <w:iCs/>
      <w:color w:val="auto"/>
    </w:rPr>
  </w:style>
  <w:style w:type="paragraph" w:styleId="Nagwekspisutreci">
    <w:name w:val="TOC Heading"/>
    <w:basedOn w:val="Nagwek1"/>
    <w:next w:val="Normalny"/>
    <w:uiPriority w:val="39"/>
    <w:unhideWhenUsed/>
    <w:qFormat/>
    <w:rsid w:val="009D5AC3"/>
    <w:pPr>
      <w:outlineLvl w:val="9"/>
    </w:pPr>
  </w:style>
  <w:style w:type="character" w:styleId="Odwoaniedelikatne">
    <w:name w:val="Subtle Reference"/>
    <w:aliases w:val="Legenda1"/>
    <w:basedOn w:val="Domylnaczcionkaakapitu"/>
    <w:uiPriority w:val="31"/>
    <w:qFormat/>
    <w:rsid w:val="009D5AC3"/>
    <w:rPr>
      <w:smallCaps/>
      <w:color w:val="auto"/>
      <w:u w:val="single" w:color="7F7F7F" w:themeColor="text1" w:themeTint="80"/>
    </w:rPr>
  </w:style>
  <w:style w:type="character" w:customStyle="1" w:styleId="Nagwek5Znak">
    <w:name w:val="Nagłówek 5 Znak"/>
    <w:basedOn w:val="Domylnaczcionkaakapitu"/>
    <w:link w:val="Nagwek5"/>
    <w:uiPriority w:val="9"/>
    <w:rsid w:val="009D5AC3"/>
    <w:rPr>
      <w:rFonts w:asciiTheme="majorHAnsi" w:eastAsiaTheme="majorEastAsia" w:hAnsiTheme="majorHAnsi" w:cstheme="majorBidi"/>
      <w:b/>
      <w:bCs/>
    </w:rPr>
  </w:style>
  <w:style w:type="character" w:styleId="Wyrnienieintensywne">
    <w:name w:val="Intense Emphasis"/>
    <w:basedOn w:val="Domylnaczcionkaakapitu"/>
    <w:uiPriority w:val="21"/>
    <w:qFormat/>
    <w:rsid w:val="009D5AC3"/>
    <w:rPr>
      <w:b/>
      <w:bCs/>
      <w:i/>
      <w:iCs/>
      <w:color w:val="auto"/>
    </w:rPr>
  </w:style>
  <w:style w:type="character" w:customStyle="1" w:styleId="Nagwek6Znak">
    <w:name w:val="Nagłówek 6 Znak"/>
    <w:basedOn w:val="Domylnaczcionkaakapitu"/>
    <w:link w:val="Nagwek6"/>
    <w:uiPriority w:val="9"/>
    <w:rsid w:val="009D5AC3"/>
    <w:rPr>
      <w:rFonts w:asciiTheme="majorHAnsi" w:eastAsiaTheme="majorEastAsia" w:hAnsiTheme="majorHAnsi" w:cstheme="majorBidi"/>
      <w:bCs/>
      <w:iCs/>
      <w:sz w:val="20"/>
    </w:rPr>
  </w:style>
  <w:style w:type="character" w:customStyle="1" w:styleId="Nagwek7Znak">
    <w:name w:val="Nagłówek 7 Znak"/>
    <w:basedOn w:val="Domylnaczcionkaakapitu"/>
    <w:link w:val="Nagwek7"/>
    <w:uiPriority w:val="9"/>
    <w:semiHidden/>
    <w:rsid w:val="009D5AC3"/>
    <w:rPr>
      <w:i/>
      <w:iCs/>
    </w:rPr>
  </w:style>
  <w:style w:type="character" w:customStyle="1" w:styleId="Nagwek8Znak">
    <w:name w:val="Nagłówek 8 Znak"/>
    <w:basedOn w:val="Domylnaczcionkaakapitu"/>
    <w:link w:val="Nagwek8"/>
    <w:uiPriority w:val="9"/>
    <w:semiHidden/>
    <w:rsid w:val="009D5AC3"/>
    <w:rPr>
      <w:b/>
      <w:bCs/>
    </w:rPr>
  </w:style>
  <w:style w:type="character" w:customStyle="1" w:styleId="Nagwek9Znak">
    <w:name w:val="Nagłówek 9 Znak"/>
    <w:basedOn w:val="Domylnaczcionkaakapitu"/>
    <w:link w:val="Nagwek9"/>
    <w:uiPriority w:val="9"/>
    <w:semiHidden/>
    <w:rsid w:val="009D5AC3"/>
    <w:rPr>
      <w:i/>
      <w:iCs/>
    </w:rPr>
  </w:style>
  <w:style w:type="paragraph" w:styleId="Spistreci2">
    <w:name w:val="toc 2"/>
    <w:aliases w:val="Spis treści _proGiG"/>
    <w:basedOn w:val="Normalny"/>
    <w:next w:val="Normalny"/>
    <w:link w:val="Spistreci2Znak"/>
    <w:autoRedefine/>
    <w:uiPriority w:val="39"/>
    <w:rsid w:val="00DF61D6"/>
    <w:pPr>
      <w:keepNext/>
      <w:keepLines/>
      <w:suppressLineNumbers/>
      <w:tabs>
        <w:tab w:val="left" w:pos="426"/>
        <w:tab w:val="right" w:leader="dot" w:pos="9628"/>
      </w:tabs>
      <w:suppressAutoHyphens/>
      <w:spacing w:before="600" w:after="240" w:line="240" w:lineRule="auto"/>
      <w:jc w:val="center"/>
    </w:pPr>
    <w:rPr>
      <w:rFonts w:ascii="Arial" w:eastAsia="Calibri" w:hAnsi="Arial" w:cs="Arial"/>
      <w:bCs/>
      <w:noProof/>
      <w:u w:val="single"/>
      <w:lang w:val="x-none" w:eastAsia="x-none"/>
    </w:rPr>
  </w:style>
  <w:style w:type="character" w:customStyle="1" w:styleId="Spistreci2Znak">
    <w:name w:val="Spis treści 2 Znak"/>
    <w:aliases w:val="Spis treści _proGiG Znak"/>
    <w:link w:val="Spistreci2"/>
    <w:uiPriority w:val="39"/>
    <w:rsid w:val="00DF61D6"/>
    <w:rPr>
      <w:rFonts w:ascii="Arial" w:eastAsia="Calibri" w:hAnsi="Arial" w:cs="Arial"/>
      <w:bCs/>
      <w:noProof/>
      <w:u w:val="single"/>
      <w:lang w:val="x-none" w:eastAsia="x-none"/>
    </w:rPr>
  </w:style>
  <w:style w:type="paragraph" w:styleId="Cytat">
    <w:name w:val="Quote"/>
    <w:basedOn w:val="Normalny"/>
    <w:next w:val="Normalny"/>
    <w:link w:val="CytatZnak"/>
    <w:uiPriority w:val="29"/>
    <w:qFormat/>
    <w:rsid w:val="009D5AC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9D5AC3"/>
    <w:rPr>
      <w:rFonts w:asciiTheme="majorHAnsi" w:eastAsiaTheme="majorEastAsia" w:hAnsiTheme="majorHAnsi" w:cstheme="majorBidi"/>
      <w:i/>
      <w:iCs/>
      <w:sz w:val="24"/>
      <w:szCs w:val="24"/>
    </w:rPr>
  </w:style>
  <w:style w:type="character" w:styleId="Odwoanieintensywne">
    <w:name w:val="Intense Reference"/>
    <w:basedOn w:val="Domylnaczcionkaakapitu"/>
    <w:uiPriority w:val="32"/>
    <w:qFormat/>
    <w:rsid w:val="009D5AC3"/>
    <w:rPr>
      <w:b/>
      <w:bCs/>
      <w:smallCaps/>
      <w:color w:val="auto"/>
      <w:u w:val="single"/>
    </w:rPr>
  </w:style>
  <w:style w:type="character" w:styleId="Tytuksiki">
    <w:name w:val="Book Title"/>
    <w:basedOn w:val="Domylnaczcionkaakapitu"/>
    <w:uiPriority w:val="33"/>
    <w:qFormat/>
    <w:rsid w:val="009D5AC3"/>
    <w:rPr>
      <w:b/>
      <w:bCs/>
      <w:smallCaps/>
      <w:color w:val="auto"/>
    </w:rPr>
  </w:style>
  <w:style w:type="paragraph" w:customStyle="1" w:styleId="Tekst">
    <w:name w:val="Tekst"/>
    <w:basedOn w:val="Normalny"/>
    <w:link w:val="TekstZnak"/>
    <w:qFormat/>
    <w:rsid w:val="009D5AC3"/>
    <w:pPr>
      <w:spacing w:before="120" w:after="120" w:line="276" w:lineRule="auto"/>
    </w:pPr>
    <w:rPr>
      <w:rFonts w:ascii="Arial" w:eastAsia="Arial" w:hAnsi="Arial" w:cs="Times New Roman"/>
      <w:lang w:val="x-none" w:eastAsia="x-none"/>
    </w:rPr>
  </w:style>
  <w:style w:type="character" w:customStyle="1" w:styleId="TekstZnak">
    <w:name w:val="Tekst Znak"/>
    <w:link w:val="Tekst"/>
    <w:qFormat/>
    <w:rsid w:val="009D5AC3"/>
    <w:rPr>
      <w:rFonts w:ascii="Arial" w:eastAsia="Arial" w:hAnsi="Arial" w:cs="Times New Roman"/>
      <w:lang w:val="x-none" w:eastAsia="x-none"/>
    </w:rPr>
  </w:style>
  <w:style w:type="character" w:customStyle="1" w:styleId="markedcontent">
    <w:name w:val="markedcontent"/>
    <w:basedOn w:val="Domylnaczcionkaakapitu"/>
    <w:rsid w:val="00BB1FC6"/>
  </w:style>
  <w:style w:type="table" w:styleId="Tabela-Siatka">
    <w:name w:val="Table Grid"/>
    <w:basedOn w:val="Standardowy"/>
    <w:uiPriority w:val="59"/>
    <w:rsid w:val="00BB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E3AE4"/>
    <w:rPr>
      <w:sz w:val="16"/>
      <w:szCs w:val="16"/>
    </w:rPr>
  </w:style>
  <w:style w:type="paragraph" w:styleId="Tekstkomentarza">
    <w:name w:val="annotation text"/>
    <w:basedOn w:val="Normalny"/>
    <w:link w:val="TekstkomentarzaZnak"/>
    <w:uiPriority w:val="99"/>
    <w:semiHidden/>
    <w:unhideWhenUsed/>
    <w:rsid w:val="00BE3A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3AE4"/>
    <w:rPr>
      <w:sz w:val="20"/>
      <w:szCs w:val="20"/>
    </w:rPr>
  </w:style>
  <w:style w:type="paragraph" w:styleId="Tematkomentarza">
    <w:name w:val="annotation subject"/>
    <w:basedOn w:val="Tekstkomentarza"/>
    <w:next w:val="Tekstkomentarza"/>
    <w:link w:val="TematkomentarzaZnak"/>
    <w:uiPriority w:val="99"/>
    <w:semiHidden/>
    <w:unhideWhenUsed/>
    <w:rsid w:val="00BE3AE4"/>
    <w:rPr>
      <w:b/>
      <w:bCs/>
    </w:rPr>
  </w:style>
  <w:style w:type="character" w:customStyle="1" w:styleId="TematkomentarzaZnak">
    <w:name w:val="Temat komentarza Znak"/>
    <w:basedOn w:val="TekstkomentarzaZnak"/>
    <w:link w:val="Tematkomentarza"/>
    <w:uiPriority w:val="99"/>
    <w:semiHidden/>
    <w:rsid w:val="00BE3AE4"/>
    <w:rPr>
      <w:b/>
      <w:bCs/>
      <w:sz w:val="20"/>
      <w:szCs w:val="20"/>
    </w:rPr>
  </w:style>
  <w:style w:type="paragraph" w:styleId="Tekstdymka">
    <w:name w:val="Balloon Text"/>
    <w:basedOn w:val="Normalny"/>
    <w:link w:val="TekstdymkaZnak"/>
    <w:uiPriority w:val="99"/>
    <w:semiHidden/>
    <w:unhideWhenUsed/>
    <w:rsid w:val="00BE3A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3AE4"/>
    <w:rPr>
      <w:rFonts w:ascii="Tahoma" w:hAnsi="Tahoma" w:cs="Tahoma"/>
      <w:sz w:val="16"/>
      <w:szCs w:val="16"/>
    </w:rPr>
  </w:style>
  <w:style w:type="paragraph" w:styleId="Nagwek">
    <w:name w:val="header"/>
    <w:basedOn w:val="Normalny"/>
    <w:link w:val="NagwekZnak"/>
    <w:uiPriority w:val="99"/>
    <w:unhideWhenUsed/>
    <w:rsid w:val="00DD38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3864"/>
  </w:style>
  <w:style w:type="paragraph" w:styleId="Stopka">
    <w:name w:val="footer"/>
    <w:basedOn w:val="Normalny"/>
    <w:link w:val="StopkaZnak"/>
    <w:uiPriority w:val="99"/>
    <w:unhideWhenUsed/>
    <w:rsid w:val="00DD38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3864"/>
  </w:style>
  <w:style w:type="character" w:styleId="Hipercze">
    <w:name w:val="Hyperlink"/>
    <w:basedOn w:val="Domylnaczcionkaakapitu"/>
    <w:uiPriority w:val="99"/>
    <w:unhideWhenUsed/>
    <w:rsid w:val="00E4429E"/>
    <w:rPr>
      <w:color w:val="0563C1" w:themeColor="hyperlink"/>
      <w:u w:val="single"/>
    </w:rPr>
  </w:style>
  <w:style w:type="character" w:styleId="Nierozpoznanawzmianka">
    <w:name w:val="Unresolved Mention"/>
    <w:basedOn w:val="Domylnaczcionkaakapitu"/>
    <w:uiPriority w:val="99"/>
    <w:semiHidden/>
    <w:unhideWhenUsed/>
    <w:rsid w:val="00E44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7113">
      <w:bodyDiv w:val="1"/>
      <w:marLeft w:val="0"/>
      <w:marRight w:val="0"/>
      <w:marTop w:val="0"/>
      <w:marBottom w:val="0"/>
      <w:divBdr>
        <w:top w:val="none" w:sz="0" w:space="0" w:color="auto"/>
        <w:left w:val="none" w:sz="0" w:space="0" w:color="auto"/>
        <w:bottom w:val="none" w:sz="0" w:space="0" w:color="auto"/>
        <w:right w:val="none" w:sz="0" w:space="0" w:color="auto"/>
      </w:divBdr>
    </w:div>
    <w:div w:id="45956686">
      <w:bodyDiv w:val="1"/>
      <w:marLeft w:val="0"/>
      <w:marRight w:val="0"/>
      <w:marTop w:val="0"/>
      <w:marBottom w:val="0"/>
      <w:divBdr>
        <w:top w:val="none" w:sz="0" w:space="0" w:color="auto"/>
        <w:left w:val="none" w:sz="0" w:space="0" w:color="auto"/>
        <w:bottom w:val="none" w:sz="0" w:space="0" w:color="auto"/>
        <w:right w:val="none" w:sz="0" w:space="0" w:color="auto"/>
      </w:divBdr>
    </w:div>
    <w:div w:id="111361540">
      <w:bodyDiv w:val="1"/>
      <w:marLeft w:val="0"/>
      <w:marRight w:val="0"/>
      <w:marTop w:val="0"/>
      <w:marBottom w:val="0"/>
      <w:divBdr>
        <w:top w:val="none" w:sz="0" w:space="0" w:color="auto"/>
        <w:left w:val="none" w:sz="0" w:space="0" w:color="auto"/>
        <w:bottom w:val="none" w:sz="0" w:space="0" w:color="auto"/>
        <w:right w:val="none" w:sz="0" w:space="0" w:color="auto"/>
      </w:divBdr>
    </w:div>
    <w:div w:id="163397788">
      <w:bodyDiv w:val="1"/>
      <w:marLeft w:val="0"/>
      <w:marRight w:val="0"/>
      <w:marTop w:val="0"/>
      <w:marBottom w:val="0"/>
      <w:divBdr>
        <w:top w:val="none" w:sz="0" w:space="0" w:color="auto"/>
        <w:left w:val="none" w:sz="0" w:space="0" w:color="auto"/>
        <w:bottom w:val="none" w:sz="0" w:space="0" w:color="auto"/>
        <w:right w:val="none" w:sz="0" w:space="0" w:color="auto"/>
      </w:divBdr>
      <w:divsChild>
        <w:div w:id="362368276">
          <w:marLeft w:val="547"/>
          <w:marRight w:val="0"/>
          <w:marTop w:val="0"/>
          <w:marBottom w:val="0"/>
          <w:divBdr>
            <w:top w:val="none" w:sz="0" w:space="0" w:color="auto"/>
            <w:left w:val="none" w:sz="0" w:space="0" w:color="auto"/>
            <w:bottom w:val="none" w:sz="0" w:space="0" w:color="auto"/>
            <w:right w:val="none" w:sz="0" w:space="0" w:color="auto"/>
          </w:divBdr>
        </w:div>
      </w:divsChild>
    </w:div>
    <w:div w:id="224224497">
      <w:bodyDiv w:val="1"/>
      <w:marLeft w:val="0"/>
      <w:marRight w:val="0"/>
      <w:marTop w:val="0"/>
      <w:marBottom w:val="0"/>
      <w:divBdr>
        <w:top w:val="none" w:sz="0" w:space="0" w:color="auto"/>
        <w:left w:val="none" w:sz="0" w:space="0" w:color="auto"/>
        <w:bottom w:val="none" w:sz="0" w:space="0" w:color="auto"/>
        <w:right w:val="none" w:sz="0" w:space="0" w:color="auto"/>
      </w:divBdr>
    </w:div>
    <w:div w:id="229777390">
      <w:bodyDiv w:val="1"/>
      <w:marLeft w:val="0"/>
      <w:marRight w:val="0"/>
      <w:marTop w:val="0"/>
      <w:marBottom w:val="0"/>
      <w:divBdr>
        <w:top w:val="none" w:sz="0" w:space="0" w:color="auto"/>
        <w:left w:val="none" w:sz="0" w:space="0" w:color="auto"/>
        <w:bottom w:val="none" w:sz="0" w:space="0" w:color="auto"/>
        <w:right w:val="none" w:sz="0" w:space="0" w:color="auto"/>
      </w:divBdr>
    </w:div>
    <w:div w:id="256327882">
      <w:bodyDiv w:val="1"/>
      <w:marLeft w:val="0"/>
      <w:marRight w:val="0"/>
      <w:marTop w:val="0"/>
      <w:marBottom w:val="0"/>
      <w:divBdr>
        <w:top w:val="none" w:sz="0" w:space="0" w:color="auto"/>
        <w:left w:val="none" w:sz="0" w:space="0" w:color="auto"/>
        <w:bottom w:val="none" w:sz="0" w:space="0" w:color="auto"/>
        <w:right w:val="none" w:sz="0" w:space="0" w:color="auto"/>
      </w:divBdr>
    </w:div>
    <w:div w:id="263850972">
      <w:bodyDiv w:val="1"/>
      <w:marLeft w:val="0"/>
      <w:marRight w:val="0"/>
      <w:marTop w:val="0"/>
      <w:marBottom w:val="0"/>
      <w:divBdr>
        <w:top w:val="none" w:sz="0" w:space="0" w:color="auto"/>
        <w:left w:val="none" w:sz="0" w:space="0" w:color="auto"/>
        <w:bottom w:val="none" w:sz="0" w:space="0" w:color="auto"/>
        <w:right w:val="none" w:sz="0" w:space="0" w:color="auto"/>
      </w:divBdr>
    </w:div>
    <w:div w:id="481624443">
      <w:bodyDiv w:val="1"/>
      <w:marLeft w:val="0"/>
      <w:marRight w:val="0"/>
      <w:marTop w:val="0"/>
      <w:marBottom w:val="0"/>
      <w:divBdr>
        <w:top w:val="none" w:sz="0" w:space="0" w:color="auto"/>
        <w:left w:val="none" w:sz="0" w:space="0" w:color="auto"/>
        <w:bottom w:val="none" w:sz="0" w:space="0" w:color="auto"/>
        <w:right w:val="none" w:sz="0" w:space="0" w:color="auto"/>
      </w:divBdr>
    </w:div>
    <w:div w:id="540434921">
      <w:bodyDiv w:val="1"/>
      <w:marLeft w:val="0"/>
      <w:marRight w:val="0"/>
      <w:marTop w:val="0"/>
      <w:marBottom w:val="0"/>
      <w:divBdr>
        <w:top w:val="none" w:sz="0" w:space="0" w:color="auto"/>
        <w:left w:val="none" w:sz="0" w:space="0" w:color="auto"/>
        <w:bottom w:val="none" w:sz="0" w:space="0" w:color="auto"/>
        <w:right w:val="none" w:sz="0" w:space="0" w:color="auto"/>
      </w:divBdr>
      <w:divsChild>
        <w:div w:id="1522621264">
          <w:marLeft w:val="547"/>
          <w:marRight w:val="0"/>
          <w:marTop w:val="0"/>
          <w:marBottom w:val="0"/>
          <w:divBdr>
            <w:top w:val="none" w:sz="0" w:space="0" w:color="auto"/>
            <w:left w:val="none" w:sz="0" w:space="0" w:color="auto"/>
            <w:bottom w:val="none" w:sz="0" w:space="0" w:color="auto"/>
            <w:right w:val="none" w:sz="0" w:space="0" w:color="auto"/>
          </w:divBdr>
        </w:div>
      </w:divsChild>
    </w:div>
    <w:div w:id="557784664">
      <w:bodyDiv w:val="1"/>
      <w:marLeft w:val="0"/>
      <w:marRight w:val="0"/>
      <w:marTop w:val="0"/>
      <w:marBottom w:val="0"/>
      <w:divBdr>
        <w:top w:val="none" w:sz="0" w:space="0" w:color="auto"/>
        <w:left w:val="none" w:sz="0" w:space="0" w:color="auto"/>
        <w:bottom w:val="none" w:sz="0" w:space="0" w:color="auto"/>
        <w:right w:val="none" w:sz="0" w:space="0" w:color="auto"/>
      </w:divBdr>
    </w:div>
    <w:div w:id="560676326">
      <w:bodyDiv w:val="1"/>
      <w:marLeft w:val="0"/>
      <w:marRight w:val="0"/>
      <w:marTop w:val="0"/>
      <w:marBottom w:val="0"/>
      <w:divBdr>
        <w:top w:val="none" w:sz="0" w:space="0" w:color="auto"/>
        <w:left w:val="none" w:sz="0" w:space="0" w:color="auto"/>
        <w:bottom w:val="none" w:sz="0" w:space="0" w:color="auto"/>
        <w:right w:val="none" w:sz="0" w:space="0" w:color="auto"/>
      </w:divBdr>
    </w:div>
    <w:div w:id="619796706">
      <w:bodyDiv w:val="1"/>
      <w:marLeft w:val="0"/>
      <w:marRight w:val="0"/>
      <w:marTop w:val="0"/>
      <w:marBottom w:val="0"/>
      <w:divBdr>
        <w:top w:val="none" w:sz="0" w:space="0" w:color="auto"/>
        <w:left w:val="none" w:sz="0" w:space="0" w:color="auto"/>
        <w:bottom w:val="none" w:sz="0" w:space="0" w:color="auto"/>
        <w:right w:val="none" w:sz="0" w:space="0" w:color="auto"/>
      </w:divBdr>
    </w:div>
    <w:div w:id="723988312">
      <w:bodyDiv w:val="1"/>
      <w:marLeft w:val="0"/>
      <w:marRight w:val="0"/>
      <w:marTop w:val="0"/>
      <w:marBottom w:val="0"/>
      <w:divBdr>
        <w:top w:val="none" w:sz="0" w:space="0" w:color="auto"/>
        <w:left w:val="none" w:sz="0" w:space="0" w:color="auto"/>
        <w:bottom w:val="none" w:sz="0" w:space="0" w:color="auto"/>
        <w:right w:val="none" w:sz="0" w:space="0" w:color="auto"/>
      </w:divBdr>
    </w:div>
    <w:div w:id="748698591">
      <w:bodyDiv w:val="1"/>
      <w:marLeft w:val="0"/>
      <w:marRight w:val="0"/>
      <w:marTop w:val="0"/>
      <w:marBottom w:val="0"/>
      <w:divBdr>
        <w:top w:val="none" w:sz="0" w:space="0" w:color="auto"/>
        <w:left w:val="none" w:sz="0" w:space="0" w:color="auto"/>
        <w:bottom w:val="none" w:sz="0" w:space="0" w:color="auto"/>
        <w:right w:val="none" w:sz="0" w:space="0" w:color="auto"/>
      </w:divBdr>
    </w:div>
    <w:div w:id="853299535">
      <w:bodyDiv w:val="1"/>
      <w:marLeft w:val="0"/>
      <w:marRight w:val="0"/>
      <w:marTop w:val="0"/>
      <w:marBottom w:val="0"/>
      <w:divBdr>
        <w:top w:val="none" w:sz="0" w:space="0" w:color="auto"/>
        <w:left w:val="none" w:sz="0" w:space="0" w:color="auto"/>
        <w:bottom w:val="none" w:sz="0" w:space="0" w:color="auto"/>
        <w:right w:val="none" w:sz="0" w:space="0" w:color="auto"/>
      </w:divBdr>
    </w:div>
    <w:div w:id="897785384">
      <w:bodyDiv w:val="1"/>
      <w:marLeft w:val="0"/>
      <w:marRight w:val="0"/>
      <w:marTop w:val="0"/>
      <w:marBottom w:val="0"/>
      <w:divBdr>
        <w:top w:val="none" w:sz="0" w:space="0" w:color="auto"/>
        <w:left w:val="none" w:sz="0" w:space="0" w:color="auto"/>
        <w:bottom w:val="none" w:sz="0" w:space="0" w:color="auto"/>
        <w:right w:val="none" w:sz="0" w:space="0" w:color="auto"/>
      </w:divBdr>
    </w:div>
    <w:div w:id="1073315482">
      <w:bodyDiv w:val="1"/>
      <w:marLeft w:val="0"/>
      <w:marRight w:val="0"/>
      <w:marTop w:val="0"/>
      <w:marBottom w:val="0"/>
      <w:divBdr>
        <w:top w:val="none" w:sz="0" w:space="0" w:color="auto"/>
        <w:left w:val="none" w:sz="0" w:space="0" w:color="auto"/>
        <w:bottom w:val="none" w:sz="0" w:space="0" w:color="auto"/>
        <w:right w:val="none" w:sz="0" w:space="0" w:color="auto"/>
      </w:divBdr>
    </w:div>
    <w:div w:id="1203176844">
      <w:bodyDiv w:val="1"/>
      <w:marLeft w:val="0"/>
      <w:marRight w:val="0"/>
      <w:marTop w:val="0"/>
      <w:marBottom w:val="0"/>
      <w:divBdr>
        <w:top w:val="none" w:sz="0" w:space="0" w:color="auto"/>
        <w:left w:val="none" w:sz="0" w:space="0" w:color="auto"/>
        <w:bottom w:val="none" w:sz="0" w:space="0" w:color="auto"/>
        <w:right w:val="none" w:sz="0" w:space="0" w:color="auto"/>
      </w:divBdr>
    </w:div>
    <w:div w:id="1306855222">
      <w:bodyDiv w:val="1"/>
      <w:marLeft w:val="0"/>
      <w:marRight w:val="0"/>
      <w:marTop w:val="0"/>
      <w:marBottom w:val="0"/>
      <w:divBdr>
        <w:top w:val="none" w:sz="0" w:space="0" w:color="auto"/>
        <w:left w:val="none" w:sz="0" w:space="0" w:color="auto"/>
        <w:bottom w:val="none" w:sz="0" w:space="0" w:color="auto"/>
        <w:right w:val="none" w:sz="0" w:space="0" w:color="auto"/>
      </w:divBdr>
    </w:div>
    <w:div w:id="1406797598">
      <w:bodyDiv w:val="1"/>
      <w:marLeft w:val="0"/>
      <w:marRight w:val="0"/>
      <w:marTop w:val="0"/>
      <w:marBottom w:val="0"/>
      <w:divBdr>
        <w:top w:val="none" w:sz="0" w:space="0" w:color="auto"/>
        <w:left w:val="none" w:sz="0" w:space="0" w:color="auto"/>
        <w:bottom w:val="none" w:sz="0" w:space="0" w:color="auto"/>
        <w:right w:val="none" w:sz="0" w:space="0" w:color="auto"/>
      </w:divBdr>
    </w:div>
    <w:div w:id="1536114439">
      <w:bodyDiv w:val="1"/>
      <w:marLeft w:val="0"/>
      <w:marRight w:val="0"/>
      <w:marTop w:val="0"/>
      <w:marBottom w:val="0"/>
      <w:divBdr>
        <w:top w:val="none" w:sz="0" w:space="0" w:color="auto"/>
        <w:left w:val="none" w:sz="0" w:space="0" w:color="auto"/>
        <w:bottom w:val="none" w:sz="0" w:space="0" w:color="auto"/>
        <w:right w:val="none" w:sz="0" w:space="0" w:color="auto"/>
      </w:divBdr>
    </w:div>
    <w:div w:id="1547378512">
      <w:bodyDiv w:val="1"/>
      <w:marLeft w:val="0"/>
      <w:marRight w:val="0"/>
      <w:marTop w:val="0"/>
      <w:marBottom w:val="0"/>
      <w:divBdr>
        <w:top w:val="none" w:sz="0" w:space="0" w:color="auto"/>
        <w:left w:val="none" w:sz="0" w:space="0" w:color="auto"/>
        <w:bottom w:val="none" w:sz="0" w:space="0" w:color="auto"/>
        <w:right w:val="none" w:sz="0" w:space="0" w:color="auto"/>
      </w:divBdr>
    </w:div>
    <w:div w:id="1640841390">
      <w:bodyDiv w:val="1"/>
      <w:marLeft w:val="0"/>
      <w:marRight w:val="0"/>
      <w:marTop w:val="0"/>
      <w:marBottom w:val="0"/>
      <w:divBdr>
        <w:top w:val="none" w:sz="0" w:space="0" w:color="auto"/>
        <w:left w:val="none" w:sz="0" w:space="0" w:color="auto"/>
        <w:bottom w:val="none" w:sz="0" w:space="0" w:color="auto"/>
        <w:right w:val="none" w:sz="0" w:space="0" w:color="auto"/>
      </w:divBdr>
    </w:div>
    <w:div w:id="1678535796">
      <w:bodyDiv w:val="1"/>
      <w:marLeft w:val="0"/>
      <w:marRight w:val="0"/>
      <w:marTop w:val="0"/>
      <w:marBottom w:val="0"/>
      <w:divBdr>
        <w:top w:val="none" w:sz="0" w:space="0" w:color="auto"/>
        <w:left w:val="none" w:sz="0" w:space="0" w:color="auto"/>
        <w:bottom w:val="none" w:sz="0" w:space="0" w:color="auto"/>
        <w:right w:val="none" w:sz="0" w:space="0" w:color="auto"/>
      </w:divBdr>
    </w:div>
    <w:div w:id="1718385117">
      <w:bodyDiv w:val="1"/>
      <w:marLeft w:val="0"/>
      <w:marRight w:val="0"/>
      <w:marTop w:val="0"/>
      <w:marBottom w:val="0"/>
      <w:divBdr>
        <w:top w:val="none" w:sz="0" w:space="0" w:color="auto"/>
        <w:left w:val="none" w:sz="0" w:space="0" w:color="auto"/>
        <w:bottom w:val="none" w:sz="0" w:space="0" w:color="auto"/>
        <w:right w:val="none" w:sz="0" w:space="0" w:color="auto"/>
      </w:divBdr>
    </w:div>
    <w:div w:id="1771661008">
      <w:bodyDiv w:val="1"/>
      <w:marLeft w:val="0"/>
      <w:marRight w:val="0"/>
      <w:marTop w:val="0"/>
      <w:marBottom w:val="0"/>
      <w:divBdr>
        <w:top w:val="none" w:sz="0" w:space="0" w:color="auto"/>
        <w:left w:val="none" w:sz="0" w:space="0" w:color="auto"/>
        <w:bottom w:val="none" w:sz="0" w:space="0" w:color="auto"/>
        <w:right w:val="none" w:sz="0" w:space="0" w:color="auto"/>
      </w:divBdr>
    </w:div>
    <w:div w:id="2129659547">
      <w:bodyDiv w:val="1"/>
      <w:marLeft w:val="0"/>
      <w:marRight w:val="0"/>
      <w:marTop w:val="0"/>
      <w:marBottom w:val="0"/>
      <w:divBdr>
        <w:top w:val="none" w:sz="0" w:space="0" w:color="auto"/>
        <w:left w:val="none" w:sz="0" w:space="0" w:color="auto"/>
        <w:bottom w:val="none" w:sz="0" w:space="0" w:color="auto"/>
        <w:right w:val="none" w:sz="0" w:space="0" w:color="auto"/>
      </w:divBdr>
    </w:div>
    <w:div w:id="21311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Niestandardowy 1">
      <a:dk1>
        <a:sysClr val="windowText" lastClr="000000"/>
      </a:dk1>
      <a:lt1>
        <a:sysClr val="window" lastClr="FFFFFF"/>
      </a:lt1>
      <a:dk2>
        <a:srgbClr val="44546A"/>
      </a:dk2>
      <a:lt2>
        <a:srgbClr val="E7E6E6"/>
      </a:lt2>
      <a:accent1>
        <a:srgbClr val="002060"/>
      </a:accent1>
      <a:accent2>
        <a:srgbClr val="C00000"/>
      </a:accent2>
      <a:accent3>
        <a:srgbClr val="A5A5A5"/>
      </a:accent3>
      <a:accent4>
        <a:srgbClr val="FFC000"/>
      </a:accent4>
      <a:accent5>
        <a:srgbClr val="5B9BD5"/>
      </a:accent5>
      <a:accent6>
        <a:srgbClr val="002060"/>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15</Pages>
  <Words>4068</Words>
  <Characters>24408</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Tylikowska</dc:creator>
  <cp:lastModifiedBy>Aleksandra Piegza</cp:lastModifiedBy>
  <cp:revision>36</cp:revision>
  <cp:lastPrinted>2021-10-26T11:16:00Z</cp:lastPrinted>
  <dcterms:created xsi:type="dcterms:W3CDTF">2021-07-08T10:28:00Z</dcterms:created>
  <dcterms:modified xsi:type="dcterms:W3CDTF">2021-10-27T05:27:00Z</dcterms:modified>
</cp:coreProperties>
</file>